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BE700" w14:textId="77777777" w:rsidR="00DE3C82" w:rsidRPr="00605B56" w:rsidRDefault="00DE3C82" w:rsidP="00DE3C82">
      <w:pPr>
        <w:pStyle w:val="Header"/>
      </w:pPr>
      <w:r w:rsidRPr="00605B56">
        <w:drawing>
          <wp:anchor distT="0" distB="0" distL="114300" distR="114300" simplePos="0" relativeHeight="251661312" behindDoc="0" locked="0" layoutInCell="0" allowOverlap="1" wp14:anchorId="103BE7E3" wp14:editId="103BE7E4">
            <wp:simplePos x="0" y="0"/>
            <wp:positionH relativeFrom="column">
              <wp:posOffset>-144780</wp:posOffset>
            </wp:positionH>
            <wp:positionV relativeFrom="paragraph">
              <wp:posOffset>-45720</wp:posOffset>
            </wp:positionV>
            <wp:extent cx="553085" cy="566420"/>
            <wp:effectExtent l="0" t="0" r="0" b="508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085" cy="566420"/>
                    </a:xfrm>
                    <a:prstGeom prst="rect">
                      <a:avLst/>
                    </a:prstGeom>
                    <a:noFill/>
                  </pic:spPr>
                </pic:pic>
              </a:graphicData>
            </a:graphic>
            <wp14:sizeRelV relativeFrom="margin">
              <wp14:pctHeight>0</wp14:pctHeight>
            </wp14:sizeRelV>
          </wp:anchor>
        </w:drawing>
      </w:r>
      <w:r w:rsidRPr="00605B56">
        <w:t>U.S. DOT Federal Railroad Administration</w:t>
      </w:r>
    </w:p>
    <w:p w14:paraId="103BE701" w14:textId="77777777" w:rsidR="00DE3C82" w:rsidRPr="00605B56" w:rsidRDefault="00DE3C82" w:rsidP="00DE3C82">
      <w:pPr>
        <w:pStyle w:val="Header"/>
      </w:pPr>
      <w:r w:rsidRPr="00605B56">
        <w:t>Office of Passenger and Freight Programs</w:t>
      </w:r>
    </w:p>
    <w:p w14:paraId="103BE702" w14:textId="77777777" w:rsidR="00DE3C82" w:rsidRPr="00605B56" w:rsidRDefault="00DE3C82" w:rsidP="00DE3C82">
      <w:pPr>
        <w:pStyle w:val="Header"/>
      </w:pPr>
    </w:p>
    <w:p w14:paraId="103BE703" w14:textId="77777777" w:rsidR="00DE3C82" w:rsidRPr="00605B56" w:rsidRDefault="00DE3C82" w:rsidP="00DE3C82">
      <w:pPr>
        <w:pStyle w:val="Header"/>
      </w:pPr>
      <w:r w:rsidRPr="00605B56">
        <w:t xml:space="preserve">Monitoring Procedure 20 - Project Management Plan </w:t>
      </w:r>
      <w:r w:rsidR="00106C5F" w:rsidRPr="00605B56">
        <w:t xml:space="preserve">(PMP) </w:t>
      </w:r>
      <w:r w:rsidRPr="00605B56">
        <w:t>Review</w:t>
      </w:r>
    </w:p>
    <w:p w14:paraId="103BE704" w14:textId="77777777" w:rsidR="00DE3C82" w:rsidRPr="00605B56" w:rsidRDefault="00DE3C82" w:rsidP="00DE3C82">
      <w:pPr>
        <w:pBdr>
          <w:bottom w:val="single" w:sz="4" w:space="1" w:color="auto"/>
        </w:pBdr>
      </w:pPr>
    </w:p>
    <w:p w14:paraId="103BE705" w14:textId="77777777" w:rsidR="00DE3C82" w:rsidRPr="00605B56" w:rsidRDefault="00DE3C82" w:rsidP="00DE3C82">
      <w:pPr>
        <w:pStyle w:val="Heading1"/>
      </w:pPr>
      <w:r w:rsidRPr="00605B56">
        <w:t>PURPOSE</w:t>
      </w:r>
    </w:p>
    <w:p w14:paraId="103BE706" w14:textId="07B86643" w:rsidR="00DE3C82" w:rsidRPr="00605B56" w:rsidRDefault="00DE3C82" w:rsidP="00DE3C82">
      <w:r w:rsidRPr="00605B56">
        <w:t xml:space="preserve">FRA expects the </w:t>
      </w:r>
      <w:r w:rsidR="005C0919" w:rsidRPr="00605B56">
        <w:t>Grantee</w:t>
      </w:r>
      <w:r w:rsidRPr="00605B56">
        <w:t xml:space="preserve"> to develop</w:t>
      </w:r>
      <w:r w:rsidR="00AA6228" w:rsidRPr="00605B56">
        <w:t xml:space="preserve"> and complete</w:t>
      </w:r>
      <w:r w:rsidRPr="00605B56">
        <w:t xml:space="preserve"> its </w:t>
      </w:r>
      <w:r w:rsidR="00AA6228" w:rsidRPr="00605B56">
        <w:t xml:space="preserve">rail project(s) </w:t>
      </w:r>
      <w:r w:rsidRPr="00605B56">
        <w:t xml:space="preserve">using sound project management strategies. The </w:t>
      </w:r>
      <w:r w:rsidR="00632CB1" w:rsidRPr="00605B56">
        <w:t>Monitoring and Technical Assistance Contract (</w:t>
      </w:r>
      <w:r w:rsidRPr="00605B56">
        <w:t>MTAC’s</w:t>
      </w:r>
      <w:r w:rsidR="00632CB1" w:rsidRPr="00605B56">
        <w:t>)</w:t>
      </w:r>
      <w:r w:rsidRPr="00605B56">
        <w:t xml:space="preserve"> PMP review will help FRA determine whether the </w:t>
      </w:r>
      <w:r w:rsidR="005C0919" w:rsidRPr="00605B56">
        <w:t>Grantee</w:t>
      </w:r>
      <w:r w:rsidRPr="00605B56">
        <w:t>’s legal, administrative, management, technical capacities</w:t>
      </w:r>
      <w:r w:rsidR="00AD1A71" w:rsidRPr="00605B56">
        <w:t>,</w:t>
      </w:r>
      <w:r w:rsidRPr="00605B56">
        <w:t xml:space="preserve"> and capabilities are adequate to effectively and efficiently </w:t>
      </w:r>
      <w:r w:rsidR="00632CB1" w:rsidRPr="00605B56">
        <w:t>carry out</w:t>
      </w:r>
      <w:r w:rsidRPr="00605B56">
        <w:t xml:space="preserve"> all aspects of the project, and </w:t>
      </w:r>
      <w:r w:rsidR="00632CB1" w:rsidRPr="00605B56">
        <w:t xml:space="preserve">will identify </w:t>
      </w:r>
      <w:r w:rsidRPr="00605B56">
        <w:t>where improvements may be made.</w:t>
      </w:r>
    </w:p>
    <w:p w14:paraId="103BE707" w14:textId="77777777" w:rsidR="00DE3C82" w:rsidRPr="00605B56" w:rsidRDefault="00DE3C82" w:rsidP="00DE3C82">
      <w:pPr>
        <w:pStyle w:val="Heading1"/>
      </w:pPr>
      <w:r w:rsidRPr="00605B56">
        <w:t>KEY PRINCIPLES</w:t>
      </w:r>
    </w:p>
    <w:p w14:paraId="103BE708" w14:textId="2BAAC2A8" w:rsidR="00DE3C82" w:rsidRPr="00605B56" w:rsidRDefault="00DE3C82" w:rsidP="00DE3C82">
      <w:pPr>
        <w:spacing w:after="120"/>
      </w:pPr>
      <w:r w:rsidRPr="00605B56">
        <w:t xml:space="preserve">The </w:t>
      </w:r>
      <w:r w:rsidR="00632CB1" w:rsidRPr="00605B56">
        <w:t>PMP</w:t>
      </w:r>
      <w:r w:rsidRPr="00605B56">
        <w:t xml:space="preserve"> is the </w:t>
      </w:r>
      <w:r w:rsidR="005C0919" w:rsidRPr="00605B56">
        <w:t>Grantee</w:t>
      </w:r>
      <w:r w:rsidRPr="00605B56">
        <w:t xml:space="preserve">’s overarching project implementation plan that spans the entire project period. It should be a guide for action. </w:t>
      </w:r>
      <w:r w:rsidR="00AD1A71" w:rsidRPr="00605B56">
        <w:t xml:space="preserve"> </w:t>
      </w:r>
      <w:r w:rsidRPr="00605B56">
        <w:t xml:space="preserve">The PMP should describe the </w:t>
      </w:r>
      <w:r w:rsidR="005C0919" w:rsidRPr="00605B56">
        <w:t>Grantee</w:t>
      </w:r>
      <w:r w:rsidRPr="00605B56">
        <w:t xml:space="preserve">’s authority, capacity, policies, practices, and procedures related to all </w:t>
      </w:r>
      <w:r w:rsidR="00B52B6B" w:rsidRPr="00605B56">
        <w:t xml:space="preserve">phases </w:t>
      </w:r>
      <w:r w:rsidRPr="00605B56">
        <w:t xml:space="preserve">of the project, and should set forth the specific action plan for implementing the project, and managing the scope, cost, schedule, quality, and associated risks.  </w:t>
      </w:r>
    </w:p>
    <w:p w14:paraId="103BE709" w14:textId="6139851F" w:rsidR="00DE3C82" w:rsidRPr="00605B56" w:rsidRDefault="00B52B6B" w:rsidP="00DE3C82">
      <w:pPr>
        <w:spacing w:after="120"/>
      </w:pPr>
      <w:r w:rsidRPr="00605B56">
        <w:t xml:space="preserve">The expectations set forth in this Monitoring Procedure mirror the </w:t>
      </w:r>
      <w:r w:rsidR="00AC28AD">
        <w:t>following r</w:t>
      </w:r>
      <w:r w:rsidR="00DE3C82" w:rsidRPr="00605B56">
        <w:t>equirements</w:t>
      </w:r>
      <w:r w:rsidR="00AC28AD">
        <w:t xml:space="preserve">: </w:t>
      </w:r>
    </w:p>
    <w:p w14:paraId="734BACF7" w14:textId="77777777" w:rsidR="00E35E86" w:rsidRPr="00605B56" w:rsidRDefault="00DE3C82" w:rsidP="00B52B6B">
      <w:pPr>
        <w:rPr>
          <w:color w:val="000000"/>
          <w:sz w:val="20"/>
          <w:szCs w:val="20"/>
        </w:rPr>
      </w:pPr>
      <w:r w:rsidRPr="00605B56">
        <w:rPr>
          <w:bCs/>
          <w:color w:val="000000"/>
          <w:sz w:val="20"/>
          <w:szCs w:val="20"/>
        </w:rPr>
        <w:t xml:space="preserve">49 U.S.C., </w:t>
      </w:r>
      <w:r w:rsidRPr="00605B56">
        <w:rPr>
          <w:color w:val="000000"/>
          <w:sz w:val="20"/>
          <w:szCs w:val="20"/>
        </w:rPr>
        <w:t xml:space="preserve">United States Code, 2011 Edition. </w:t>
      </w:r>
    </w:p>
    <w:p w14:paraId="54A0AB7E" w14:textId="4FBD7E35" w:rsidR="00E35E86" w:rsidRPr="00605B56" w:rsidRDefault="00DE3C82" w:rsidP="00B52B6B">
      <w:pPr>
        <w:rPr>
          <w:color w:val="000000"/>
          <w:sz w:val="20"/>
          <w:szCs w:val="20"/>
        </w:rPr>
      </w:pPr>
      <w:r w:rsidRPr="00605B56">
        <w:rPr>
          <w:color w:val="000000"/>
          <w:sz w:val="20"/>
          <w:szCs w:val="20"/>
        </w:rPr>
        <w:t>Title 49 – TRANSPORTATION</w:t>
      </w:r>
      <w:r w:rsidR="00376401">
        <w:rPr>
          <w:color w:val="000000"/>
          <w:sz w:val="20"/>
          <w:szCs w:val="20"/>
        </w:rPr>
        <w:t>, S</w:t>
      </w:r>
      <w:r w:rsidRPr="00605B56">
        <w:rPr>
          <w:color w:val="000000"/>
          <w:sz w:val="20"/>
          <w:szCs w:val="20"/>
        </w:rPr>
        <w:t>UBTITLE V - RAIL PROGRAMS</w:t>
      </w:r>
    </w:p>
    <w:p w14:paraId="521F4E7C" w14:textId="195356C5" w:rsidR="00E35E86" w:rsidRPr="00605B56" w:rsidRDefault="00DE3C82" w:rsidP="00B52B6B">
      <w:pPr>
        <w:rPr>
          <w:color w:val="000000"/>
          <w:sz w:val="20"/>
          <w:szCs w:val="20"/>
        </w:rPr>
      </w:pPr>
      <w:r w:rsidRPr="00605B56">
        <w:rPr>
          <w:color w:val="000000"/>
          <w:sz w:val="20"/>
          <w:szCs w:val="20"/>
        </w:rPr>
        <w:t>PART C - PASSENGER TRANSPORTATION</w:t>
      </w:r>
      <w:r w:rsidR="00376401">
        <w:rPr>
          <w:color w:val="000000"/>
          <w:sz w:val="20"/>
          <w:szCs w:val="20"/>
        </w:rPr>
        <w:t xml:space="preserve">, </w:t>
      </w:r>
      <w:r w:rsidRPr="00605B56">
        <w:rPr>
          <w:color w:val="000000"/>
          <w:sz w:val="20"/>
          <w:szCs w:val="20"/>
        </w:rPr>
        <w:t>CHAPTER 244 - INTERCITY PASSENGER RAIL SERVICE CORRIDOR CAPITAL ASSISTANCE</w:t>
      </w:r>
      <w:r w:rsidR="00376401">
        <w:rPr>
          <w:color w:val="000000"/>
          <w:sz w:val="20"/>
          <w:szCs w:val="20"/>
        </w:rPr>
        <w:t xml:space="preserve"> </w:t>
      </w:r>
      <w:r w:rsidRPr="00605B56">
        <w:rPr>
          <w:color w:val="000000"/>
          <w:sz w:val="20"/>
          <w:szCs w:val="20"/>
        </w:rPr>
        <w:t>Sec. 24403 - Project management oversight</w:t>
      </w:r>
    </w:p>
    <w:p w14:paraId="063157DC" w14:textId="77777777" w:rsidR="00E35E86" w:rsidRPr="00605B56" w:rsidRDefault="00E35E86" w:rsidP="00E35E86">
      <w:pPr>
        <w:pStyle w:val="statutory-body"/>
        <w:spacing w:before="0" w:beforeAutospacing="0" w:after="0" w:afterAutospacing="0"/>
        <w:rPr>
          <w:rFonts w:asciiTheme="minorHAnsi" w:hAnsiTheme="minorHAnsi"/>
          <w:color w:val="000000"/>
          <w:sz w:val="20"/>
          <w:szCs w:val="20"/>
        </w:rPr>
      </w:pPr>
    </w:p>
    <w:p w14:paraId="103BE70B" w14:textId="1ADC15DD" w:rsidR="00DE3C82" w:rsidRPr="00605B56" w:rsidRDefault="00DE3C82" w:rsidP="00E35E86">
      <w:pPr>
        <w:pStyle w:val="statutory-body"/>
        <w:spacing w:before="0" w:beforeAutospacing="0" w:after="0" w:afterAutospacing="0"/>
        <w:rPr>
          <w:rFonts w:asciiTheme="minorHAnsi" w:hAnsiTheme="minorHAnsi"/>
          <w:color w:val="000000"/>
          <w:sz w:val="20"/>
          <w:szCs w:val="20"/>
        </w:rPr>
      </w:pPr>
      <w:r w:rsidRPr="00605B56">
        <w:rPr>
          <w:rFonts w:asciiTheme="minorHAnsi" w:hAnsiTheme="minorHAnsi"/>
          <w:color w:val="000000"/>
          <w:sz w:val="20"/>
          <w:szCs w:val="20"/>
        </w:rPr>
        <w:t>(a)</w:t>
      </w:r>
      <w:r w:rsidRPr="00605B56">
        <w:rPr>
          <w:rStyle w:val="apple-converted-space"/>
          <w:rFonts w:asciiTheme="minorHAnsi" w:hAnsiTheme="minorHAnsi"/>
          <w:color w:val="000000"/>
          <w:sz w:val="20"/>
          <w:szCs w:val="20"/>
        </w:rPr>
        <w:t> </w:t>
      </w:r>
      <w:r w:rsidRPr="00605B56">
        <w:rPr>
          <w:rFonts w:asciiTheme="minorHAnsi" w:hAnsiTheme="minorHAnsi"/>
          <w:color w:val="000000"/>
          <w:sz w:val="20"/>
          <w:szCs w:val="20"/>
        </w:rPr>
        <w:t>Project Management Plan Requirements.—</w:t>
      </w:r>
      <w:proofErr w:type="gramStart"/>
      <w:r w:rsidRPr="00605B56">
        <w:rPr>
          <w:rFonts w:asciiTheme="minorHAnsi" w:hAnsiTheme="minorHAnsi"/>
          <w:color w:val="000000"/>
          <w:sz w:val="20"/>
          <w:szCs w:val="20"/>
        </w:rPr>
        <w:t>To</w:t>
      </w:r>
      <w:proofErr w:type="gramEnd"/>
      <w:r w:rsidRPr="00605B56">
        <w:rPr>
          <w:rFonts w:asciiTheme="minorHAnsi" w:hAnsiTheme="minorHAnsi"/>
          <w:color w:val="000000"/>
          <w:sz w:val="20"/>
          <w:szCs w:val="20"/>
        </w:rPr>
        <w:t xml:space="preserve"> receive Federal financial assistance for a major capital project under this chapter, an applicant must prepare and carry out a project management plan approved by the Secretary of Transportation. The plan </w:t>
      </w:r>
      <w:r w:rsidR="005C0919" w:rsidRPr="00605B56">
        <w:rPr>
          <w:rFonts w:asciiTheme="minorHAnsi" w:hAnsiTheme="minorHAnsi"/>
          <w:color w:val="000000"/>
          <w:sz w:val="20"/>
          <w:szCs w:val="20"/>
        </w:rPr>
        <w:t>should</w:t>
      </w:r>
      <w:r w:rsidRPr="00605B56">
        <w:rPr>
          <w:rFonts w:asciiTheme="minorHAnsi" w:hAnsiTheme="minorHAnsi"/>
          <w:color w:val="000000"/>
          <w:sz w:val="20"/>
          <w:szCs w:val="20"/>
        </w:rPr>
        <w:t xml:space="preserve"> provide for—</w:t>
      </w:r>
    </w:p>
    <w:p w14:paraId="103BE70C" w14:textId="4FB3BF15" w:rsidR="00DE3C82" w:rsidRPr="00605B56" w:rsidRDefault="00376401" w:rsidP="00376401">
      <w:pPr>
        <w:pStyle w:val="statutory-body-1em"/>
        <w:tabs>
          <w:tab w:val="left" w:pos="540"/>
        </w:tabs>
        <w:spacing w:before="0" w:beforeAutospacing="0" w:after="0" w:afterAutospacing="0"/>
        <w:ind w:left="540" w:hanging="540"/>
        <w:rPr>
          <w:rFonts w:asciiTheme="minorHAnsi" w:hAnsiTheme="minorHAnsi"/>
          <w:color w:val="000000"/>
          <w:sz w:val="20"/>
          <w:szCs w:val="20"/>
        </w:rPr>
      </w:pPr>
      <w:r>
        <w:rPr>
          <w:rFonts w:asciiTheme="minorHAnsi" w:hAnsiTheme="minorHAnsi"/>
          <w:color w:val="000000"/>
          <w:sz w:val="20"/>
          <w:szCs w:val="20"/>
        </w:rPr>
        <w:t>(1)</w:t>
      </w:r>
      <w:r>
        <w:rPr>
          <w:rFonts w:asciiTheme="minorHAnsi" w:hAnsiTheme="minorHAnsi"/>
          <w:color w:val="000000"/>
          <w:sz w:val="20"/>
          <w:szCs w:val="20"/>
        </w:rPr>
        <w:tab/>
      </w:r>
      <w:proofErr w:type="gramStart"/>
      <w:r w:rsidR="00DE3C82" w:rsidRPr="00605B56">
        <w:rPr>
          <w:rFonts w:asciiTheme="minorHAnsi" w:hAnsiTheme="minorHAnsi"/>
          <w:color w:val="000000"/>
          <w:sz w:val="20"/>
          <w:szCs w:val="20"/>
        </w:rPr>
        <w:t>adequate</w:t>
      </w:r>
      <w:proofErr w:type="gramEnd"/>
      <w:r w:rsidR="00DE3C82" w:rsidRPr="00605B56">
        <w:rPr>
          <w:rFonts w:asciiTheme="minorHAnsi" w:hAnsiTheme="minorHAnsi"/>
          <w:color w:val="000000"/>
          <w:sz w:val="20"/>
          <w:szCs w:val="20"/>
        </w:rPr>
        <w:t xml:space="preserve"> recipient staff organization with well-defined reporting relationships, statements of functional responsibilities, job descriptions, and job qualifications;</w:t>
      </w:r>
    </w:p>
    <w:p w14:paraId="103BE70D" w14:textId="2BB7A95B" w:rsidR="00DE3C82" w:rsidRPr="00605B56" w:rsidRDefault="00DE3C82" w:rsidP="00CC75BD">
      <w:pPr>
        <w:pStyle w:val="statutory-body-1em"/>
        <w:tabs>
          <w:tab w:val="left" w:pos="540"/>
        </w:tabs>
        <w:spacing w:before="0" w:beforeAutospacing="0" w:after="0" w:afterAutospacing="0"/>
        <w:ind w:left="540" w:hanging="540"/>
        <w:rPr>
          <w:rFonts w:asciiTheme="minorHAnsi" w:hAnsiTheme="minorHAnsi"/>
          <w:color w:val="000000"/>
          <w:sz w:val="20"/>
          <w:szCs w:val="20"/>
        </w:rPr>
      </w:pPr>
      <w:r w:rsidRPr="00605B56">
        <w:rPr>
          <w:rFonts w:asciiTheme="minorHAnsi" w:hAnsiTheme="minorHAnsi"/>
          <w:color w:val="000000"/>
          <w:sz w:val="20"/>
          <w:szCs w:val="20"/>
        </w:rPr>
        <w:t xml:space="preserve">(2) </w:t>
      </w:r>
      <w:r w:rsidR="001008C5" w:rsidRPr="00605B56">
        <w:rPr>
          <w:rFonts w:asciiTheme="minorHAnsi" w:hAnsiTheme="minorHAnsi"/>
          <w:color w:val="000000"/>
          <w:sz w:val="20"/>
          <w:szCs w:val="20"/>
        </w:rPr>
        <w:t xml:space="preserve"> </w:t>
      </w:r>
      <w:r w:rsidR="00CC75BD">
        <w:rPr>
          <w:rFonts w:asciiTheme="minorHAnsi" w:hAnsiTheme="minorHAnsi"/>
          <w:color w:val="000000"/>
          <w:sz w:val="20"/>
          <w:szCs w:val="20"/>
        </w:rPr>
        <w:tab/>
      </w:r>
      <w:proofErr w:type="gramStart"/>
      <w:r w:rsidRPr="00605B56">
        <w:rPr>
          <w:rFonts w:asciiTheme="minorHAnsi" w:hAnsiTheme="minorHAnsi"/>
          <w:color w:val="000000"/>
          <w:sz w:val="20"/>
          <w:szCs w:val="20"/>
        </w:rPr>
        <w:t>a</w:t>
      </w:r>
      <w:proofErr w:type="gramEnd"/>
      <w:r w:rsidRPr="00605B56">
        <w:rPr>
          <w:rFonts w:asciiTheme="minorHAnsi" w:hAnsiTheme="minorHAnsi"/>
          <w:color w:val="000000"/>
          <w:sz w:val="20"/>
          <w:szCs w:val="20"/>
        </w:rPr>
        <w:t xml:space="preserve"> budget covering the project management organization, appropriate consultants, property acquisition, utility relocation, systems demonstration staff, audits, and miscellaneous payments the recipient may be prepared to justify;</w:t>
      </w:r>
    </w:p>
    <w:p w14:paraId="103BE70E" w14:textId="48AC8537" w:rsidR="00DE3C82" w:rsidRPr="00605B56" w:rsidRDefault="00DE3C82" w:rsidP="00376401">
      <w:pPr>
        <w:pStyle w:val="statutory-body-1em"/>
        <w:tabs>
          <w:tab w:val="left" w:pos="540"/>
        </w:tabs>
        <w:spacing w:before="0" w:beforeAutospacing="0" w:after="0" w:afterAutospacing="0"/>
        <w:ind w:left="360" w:hanging="360"/>
        <w:rPr>
          <w:rFonts w:asciiTheme="minorHAnsi" w:hAnsiTheme="minorHAnsi"/>
          <w:color w:val="000000"/>
          <w:sz w:val="20"/>
          <w:szCs w:val="20"/>
        </w:rPr>
      </w:pPr>
      <w:r w:rsidRPr="00605B56">
        <w:rPr>
          <w:rFonts w:asciiTheme="minorHAnsi" w:hAnsiTheme="minorHAnsi"/>
          <w:color w:val="000000"/>
          <w:sz w:val="20"/>
          <w:szCs w:val="20"/>
        </w:rPr>
        <w:t>(3)</w:t>
      </w:r>
      <w:r w:rsidR="00CC75BD">
        <w:rPr>
          <w:rFonts w:asciiTheme="minorHAnsi" w:hAnsiTheme="minorHAnsi"/>
          <w:color w:val="000000"/>
          <w:sz w:val="20"/>
          <w:szCs w:val="20"/>
        </w:rPr>
        <w:tab/>
      </w:r>
      <w:r w:rsidR="00CC75BD">
        <w:rPr>
          <w:rFonts w:asciiTheme="minorHAnsi" w:hAnsiTheme="minorHAnsi"/>
          <w:color w:val="000000"/>
          <w:sz w:val="20"/>
          <w:szCs w:val="20"/>
        </w:rPr>
        <w:tab/>
      </w:r>
      <w:proofErr w:type="gramStart"/>
      <w:r w:rsidRPr="00605B56">
        <w:rPr>
          <w:rFonts w:asciiTheme="minorHAnsi" w:hAnsiTheme="minorHAnsi"/>
          <w:color w:val="000000"/>
          <w:sz w:val="20"/>
          <w:szCs w:val="20"/>
        </w:rPr>
        <w:t>a</w:t>
      </w:r>
      <w:proofErr w:type="gramEnd"/>
      <w:r w:rsidRPr="00605B56">
        <w:rPr>
          <w:rFonts w:asciiTheme="minorHAnsi" w:hAnsiTheme="minorHAnsi"/>
          <w:color w:val="000000"/>
          <w:sz w:val="20"/>
          <w:szCs w:val="20"/>
        </w:rPr>
        <w:t xml:space="preserve"> construction schedule for the project;</w:t>
      </w:r>
    </w:p>
    <w:p w14:paraId="103BE70F" w14:textId="073EC51C" w:rsidR="00DE3C82" w:rsidRPr="00605B56" w:rsidRDefault="00CC75BD" w:rsidP="00376401">
      <w:pPr>
        <w:pStyle w:val="statutory-body-1em"/>
        <w:tabs>
          <w:tab w:val="left" w:pos="540"/>
        </w:tabs>
        <w:spacing w:before="0" w:beforeAutospacing="0" w:after="0" w:afterAutospacing="0"/>
        <w:ind w:left="360" w:hanging="360"/>
        <w:rPr>
          <w:rFonts w:asciiTheme="minorHAnsi" w:hAnsiTheme="minorHAnsi"/>
          <w:color w:val="000000"/>
          <w:sz w:val="20"/>
          <w:szCs w:val="20"/>
        </w:rPr>
      </w:pPr>
      <w:r>
        <w:rPr>
          <w:rFonts w:asciiTheme="minorHAnsi" w:hAnsiTheme="minorHAnsi"/>
          <w:color w:val="000000"/>
          <w:sz w:val="20"/>
          <w:szCs w:val="20"/>
        </w:rPr>
        <w:t>(4)</w:t>
      </w:r>
      <w:r>
        <w:rPr>
          <w:rFonts w:asciiTheme="minorHAnsi" w:hAnsiTheme="minorHAnsi"/>
          <w:color w:val="000000"/>
          <w:sz w:val="20"/>
          <w:szCs w:val="20"/>
        </w:rPr>
        <w:tab/>
      </w:r>
      <w:r>
        <w:rPr>
          <w:rFonts w:asciiTheme="minorHAnsi" w:hAnsiTheme="minorHAnsi"/>
          <w:color w:val="000000"/>
          <w:sz w:val="20"/>
          <w:szCs w:val="20"/>
        </w:rPr>
        <w:tab/>
      </w:r>
      <w:proofErr w:type="gramStart"/>
      <w:r w:rsidR="00DE3C82" w:rsidRPr="00605B56">
        <w:rPr>
          <w:rFonts w:asciiTheme="minorHAnsi" w:hAnsiTheme="minorHAnsi"/>
          <w:color w:val="000000"/>
          <w:sz w:val="20"/>
          <w:szCs w:val="20"/>
        </w:rPr>
        <w:t>a</w:t>
      </w:r>
      <w:proofErr w:type="gramEnd"/>
      <w:r w:rsidR="00DE3C82" w:rsidRPr="00605B56">
        <w:rPr>
          <w:rFonts w:asciiTheme="minorHAnsi" w:hAnsiTheme="minorHAnsi"/>
          <w:color w:val="000000"/>
          <w:sz w:val="20"/>
          <w:szCs w:val="20"/>
        </w:rPr>
        <w:t xml:space="preserve"> document control procedure and recordkeeping system;</w:t>
      </w:r>
    </w:p>
    <w:p w14:paraId="103BE710" w14:textId="40FCFDFD" w:rsidR="00DE3C82" w:rsidRPr="00605B56" w:rsidRDefault="00CC75BD" w:rsidP="00CC75BD">
      <w:pPr>
        <w:pStyle w:val="statutory-body-1em"/>
        <w:tabs>
          <w:tab w:val="left" w:pos="540"/>
        </w:tabs>
        <w:spacing w:before="0" w:beforeAutospacing="0" w:after="0" w:afterAutospacing="0"/>
        <w:ind w:left="540" w:hanging="540"/>
        <w:rPr>
          <w:rFonts w:asciiTheme="minorHAnsi" w:hAnsiTheme="minorHAnsi"/>
          <w:color w:val="000000"/>
          <w:sz w:val="20"/>
          <w:szCs w:val="20"/>
        </w:rPr>
      </w:pPr>
      <w:r>
        <w:rPr>
          <w:rFonts w:asciiTheme="minorHAnsi" w:hAnsiTheme="minorHAnsi"/>
          <w:color w:val="000000"/>
          <w:sz w:val="20"/>
          <w:szCs w:val="20"/>
        </w:rPr>
        <w:t>(5)</w:t>
      </w:r>
      <w:r>
        <w:rPr>
          <w:rFonts w:asciiTheme="minorHAnsi" w:hAnsiTheme="minorHAnsi"/>
          <w:color w:val="000000"/>
          <w:sz w:val="20"/>
          <w:szCs w:val="20"/>
        </w:rPr>
        <w:tab/>
      </w:r>
      <w:proofErr w:type="gramStart"/>
      <w:r w:rsidR="00DE3C82" w:rsidRPr="00605B56">
        <w:rPr>
          <w:rFonts w:asciiTheme="minorHAnsi" w:hAnsiTheme="minorHAnsi"/>
          <w:color w:val="000000"/>
          <w:sz w:val="20"/>
          <w:szCs w:val="20"/>
        </w:rPr>
        <w:t>a</w:t>
      </w:r>
      <w:proofErr w:type="gramEnd"/>
      <w:r w:rsidR="00DE3C82" w:rsidRPr="00605B56">
        <w:rPr>
          <w:rFonts w:asciiTheme="minorHAnsi" w:hAnsiTheme="minorHAnsi"/>
          <w:color w:val="000000"/>
          <w:sz w:val="20"/>
          <w:szCs w:val="20"/>
        </w:rPr>
        <w:t xml:space="preserve"> change order procedure that includes a documented, syst</w:t>
      </w:r>
      <w:r w:rsidR="001008C5" w:rsidRPr="00605B56">
        <w:rPr>
          <w:rFonts w:asciiTheme="minorHAnsi" w:hAnsiTheme="minorHAnsi"/>
          <w:color w:val="000000"/>
          <w:sz w:val="20"/>
          <w:szCs w:val="20"/>
        </w:rPr>
        <w:t xml:space="preserve">ematic approach to handling the </w:t>
      </w:r>
      <w:r w:rsidR="00DE3C82" w:rsidRPr="00605B56">
        <w:rPr>
          <w:rFonts w:asciiTheme="minorHAnsi" w:hAnsiTheme="minorHAnsi"/>
          <w:color w:val="000000"/>
          <w:sz w:val="20"/>
          <w:szCs w:val="20"/>
        </w:rPr>
        <w:t>construction change orders;</w:t>
      </w:r>
    </w:p>
    <w:p w14:paraId="103BE711" w14:textId="4A97BD7F" w:rsidR="00DE3C82" w:rsidRPr="00605B56" w:rsidRDefault="00CC75BD" w:rsidP="00CC75BD">
      <w:pPr>
        <w:pStyle w:val="statutory-body-1em"/>
        <w:tabs>
          <w:tab w:val="left" w:pos="540"/>
        </w:tabs>
        <w:spacing w:before="0" w:beforeAutospacing="0" w:after="0" w:afterAutospacing="0"/>
        <w:ind w:left="540" w:hanging="540"/>
        <w:rPr>
          <w:rFonts w:asciiTheme="minorHAnsi" w:hAnsiTheme="minorHAnsi"/>
          <w:color w:val="000000"/>
          <w:sz w:val="20"/>
          <w:szCs w:val="20"/>
        </w:rPr>
      </w:pPr>
      <w:r>
        <w:rPr>
          <w:rFonts w:asciiTheme="minorHAnsi" w:hAnsiTheme="minorHAnsi"/>
          <w:color w:val="000000"/>
          <w:sz w:val="20"/>
          <w:szCs w:val="20"/>
        </w:rPr>
        <w:t>(6)</w:t>
      </w:r>
      <w:r>
        <w:rPr>
          <w:rFonts w:asciiTheme="minorHAnsi" w:hAnsiTheme="minorHAnsi"/>
          <w:color w:val="000000"/>
          <w:sz w:val="20"/>
          <w:szCs w:val="20"/>
        </w:rPr>
        <w:tab/>
      </w:r>
      <w:proofErr w:type="gramStart"/>
      <w:r w:rsidR="00DE3C82" w:rsidRPr="00605B56">
        <w:rPr>
          <w:rFonts w:asciiTheme="minorHAnsi" w:hAnsiTheme="minorHAnsi"/>
          <w:color w:val="000000"/>
          <w:sz w:val="20"/>
          <w:szCs w:val="20"/>
        </w:rPr>
        <w:t>organizational</w:t>
      </w:r>
      <w:proofErr w:type="gramEnd"/>
      <w:r w:rsidR="00DE3C82" w:rsidRPr="00605B56">
        <w:rPr>
          <w:rFonts w:asciiTheme="minorHAnsi" w:hAnsiTheme="minorHAnsi"/>
          <w:color w:val="000000"/>
          <w:sz w:val="20"/>
          <w:szCs w:val="20"/>
        </w:rPr>
        <w:t xml:space="preserve"> structures, management skills, and staffing levels required throughout the construction phase;</w:t>
      </w:r>
    </w:p>
    <w:p w14:paraId="103BE712" w14:textId="78C34527" w:rsidR="00DE3C82" w:rsidRPr="00605B56" w:rsidRDefault="00CC75BD" w:rsidP="00CC75BD">
      <w:pPr>
        <w:pStyle w:val="statutory-body-1em"/>
        <w:tabs>
          <w:tab w:val="left" w:pos="540"/>
        </w:tabs>
        <w:spacing w:before="0" w:beforeAutospacing="0" w:after="0" w:afterAutospacing="0"/>
        <w:ind w:left="540" w:hanging="540"/>
        <w:rPr>
          <w:rFonts w:asciiTheme="minorHAnsi" w:hAnsiTheme="minorHAnsi"/>
          <w:color w:val="000000"/>
          <w:sz w:val="20"/>
          <w:szCs w:val="20"/>
        </w:rPr>
      </w:pPr>
      <w:r>
        <w:rPr>
          <w:rFonts w:asciiTheme="minorHAnsi" w:hAnsiTheme="minorHAnsi"/>
          <w:color w:val="000000"/>
          <w:sz w:val="20"/>
          <w:szCs w:val="20"/>
        </w:rPr>
        <w:t>(7)</w:t>
      </w:r>
      <w:r>
        <w:rPr>
          <w:rFonts w:asciiTheme="minorHAnsi" w:hAnsiTheme="minorHAnsi"/>
          <w:color w:val="000000"/>
          <w:sz w:val="20"/>
          <w:szCs w:val="20"/>
        </w:rPr>
        <w:tab/>
      </w:r>
      <w:proofErr w:type="gramStart"/>
      <w:r w:rsidR="00DE3C82" w:rsidRPr="00605B56">
        <w:rPr>
          <w:rFonts w:asciiTheme="minorHAnsi" w:hAnsiTheme="minorHAnsi"/>
          <w:color w:val="000000"/>
          <w:sz w:val="20"/>
          <w:szCs w:val="20"/>
        </w:rPr>
        <w:t>quality</w:t>
      </w:r>
      <w:proofErr w:type="gramEnd"/>
      <w:r w:rsidR="00DE3C82" w:rsidRPr="00605B56">
        <w:rPr>
          <w:rFonts w:asciiTheme="minorHAnsi" w:hAnsiTheme="minorHAnsi"/>
          <w:color w:val="000000"/>
          <w:sz w:val="20"/>
          <w:szCs w:val="20"/>
        </w:rPr>
        <w:t xml:space="preserve"> control and quality assurance functions, procedures, and responsibilities for construction, system installation, and integration of system components;</w:t>
      </w:r>
    </w:p>
    <w:p w14:paraId="103BE713" w14:textId="3473859B" w:rsidR="00DE3C82" w:rsidRPr="00605B56" w:rsidRDefault="00DE3C82" w:rsidP="00376401">
      <w:pPr>
        <w:pStyle w:val="statutory-body-1em"/>
        <w:tabs>
          <w:tab w:val="left" w:pos="540"/>
        </w:tabs>
        <w:spacing w:before="0" w:beforeAutospacing="0" w:after="0" w:afterAutospacing="0"/>
        <w:ind w:left="360" w:hanging="360"/>
        <w:rPr>
          <w:rFonts w:asciiTheme="minorHAnsi" w:hAnsiTheme="minorHAnsi"/>
          <w:color w:val="000000"/>
          <w:sz w:val="20"/>
          <w:szCs w:val="20"/>
        </w:rPr>
      </w:pPr>
      <w:r w:rsidRPr="00605B56">
        <w:rPr>
          <w:rFonts w:asciiTheme="minorHAnsi" w:hAnsiTheme="minorHAnsi"/>
          <w:color w:val="000000"/>
          <w:sz w:val="20"/>
          <w:szCs w:val="20"/>
        </w:rPr>
        <w:t xml:space="preserve">(8) </w:t>
      </w:r>
      <w:r w:rsidR="001008C5" w:rsidRPr="00605B56">
        <w:rPr>
          <w:rFonts w:asciiTheme="minorHAnsi" w:hAnsiTheme="minorHAnsi"/>
          <w:color w:val="000000"/>
          <w:sz w:val="20"/>
          <w:szCs w:val="20"/>
        </w:rPr>
        <w:t xml:space="preserve"> </w:t>
      </w:r>
      <w:r w:rsidR="00CC75BD">
        <w:rPr>
          <w:rFonts w:asciiTheme="minorHAnsi" w:hAnsiTheme="minorHAnsi"/>
          <w:color w:val="000000"/>
          <w:sz w:val="20"/>
          <w:szCs w:val="20"/>
        </w:rPr>
        <w:tab/>
      </w:r>
      <w:r w:rsidR="00CC75BD">
        <w:rPr>
          <w:rFonts w:asciiTheme="minorHAnsi" w:hAnsiTheme="minorHAnsi"/>
          <w:color w:val="000000"/>
          <w:sz w:val="20"/>
          <w:szCs w:val="20"/>
        </w:rPr>
        <w:tab/>
      </w:r>
      <w:proofErr w:type="gramStart"/>
      <w:r w:rsidRPr="00605B56">
        <w:rPr>
          <w:rFonts w:asciiTheme="minorHAnsi" w:hAnsiTheme="minorHAnsi"/>
          <w:color w:val="000000"/>
          <w:sz w:val="20"/>
          <w:szCs w:val="20"/>
        </w:rPr>
        <w:t>material</w:t>
      </w:r>
      <w:proofErr w:type="gramEnd"/>
      <w:r w:rsidRPr="00605B56">
        <w:rPr>
          <w:rFonts w:asciiTheme="minorHAnsi" w:hAnsiTheme="minorHAnsi"/>
          <w:color w:val="000000"/>
          <w:sz w:val="20"/>
          <w:szCs w:val="20"/>
        </w:rPr>
        <w:t xml:space="preserve"> testing policies and procedures;</w:t>
      </w:r>
    </w:p>
    <w:p w14:paraId="103BE714" w14:textId="0360C79F" w:rsidR="00DE3C82" w:rsidRPr="00605B56" w:rsidRDefault="00DE3C82" w:rsidP="00376401">
      <w:pPr>
        <w:pStyle w:val="statutory-body-1em"/>
        <w:tabs>
          <w:tab w:val="left" w:pos="540"/>
        </w:tabs>
        <w:spacing w:before="0" w:beforeAutospacing="0" w:after="0" w:afterAutospacing="0"/>
        <w:ind w:left="360" w:hanging="360"/>
        <w:rPr>
          <w:rFonts w:asciiTheme="minorHAnsi" w:hAnsiTheme="minorHAnsi"/>
          <w:color w:val="000000"/>
          <w:sz w:val="20"/>
          <w:szCs w:val="20"/>
        </w:rPr>
      </w:pPr>
      <w:r w:rsidRPr="00605B56">
        <w:rPr>
          <w:rFonts w:asciiTheme="minorHAnsi" w:hAnsiTheme="minorHAnsi"/>
          <w:color w:val="000000"/>
          <w:sz w:val="20"/>
          <w:szCs w:val="20"/>
        </w:rPr>
        <w:t xml:space="preserve">(9) </w:t>
      </w:r>
      <w:r w:rsidR="001008C5" w:rsidRPr="00605B56">
        <w:rPr>
          <w:rFonts w:asciiTheme="minorHAnsi" w:hAnsiTheme="minorHAnsi"/>
          <w:color w:val="000000"/>
          <w:sz w:val="20"/>
          <w:szCs w:val="20"/>
        </w:rPr>
        <w:t xml:space="preserve"> </w:t>
      </w:r>
      <w:r w:rsidR="00CC75BD">
        <w:rPr>
          <w:rFonts w:asciiTheme="minorHAnsi" w:hAnsiTheme="minorHAnsi"/>
          <w:color w:val="000000"/>
          <w:sz w:val="20"/>
          <w:szCs w:val="20"/>
        </w:rPr>
        <w:tab/>
      </w:r>
      <w:r w:rsidR="00CC75BD">
        <w:rPr>
          <w:rFonts w:asciiTheme="minorHAnsi" w:hAnsiTheme="minorHAnsi"/>
          <w:color w:val="000000"/>
          <w:sz w:val="20"/>
          <w:szCs w:val="20"/>
        </w:rPr>
        <w:tab/>
      </w:r>
      <w:proofErr w:type="gramStart"/>
      <w:r w:rsidRPr="00605B56">
        <w:rPr>
          <w:rFonts w:asciiTheme="minorHAnsi" w:hAnsiTheme="minorHAnsi"/>
          <w:color w:val="000000"/>
          <w:sz w:val="20"/>
          <w:szCs w:val="20"/>
        </w:rPr>
        <w:t>internal</w:t>
      </w:r>
      <w:proofErr w:type="gramEnd"/>
      <w:r w:rsidRPr="00605B56">
        <w:rPr>
          <w:rFonts w:asciiTheme="minorHAnsi" w:hAnsiTheme="minorHAnsi"/>
          <w:color w:val="000000"/>
          <w:sz w:val="20"/>
          <w:szCs w:val="20"/>
        </w:rPr>
        <w:t xml:space="preserve"> plan implementation and reporting requirements;</w:t>
      </w:r>
    </w:p>
    <w:p w14:paraId="103BE715" w14:textId="6A45AA1C" w:rsidR="00DE3C82" w:rsidRPr="00605B56" w:rsidRDefault="00DE3C82" w:rsidP="00376401">
      <w:pPr>
        <w:pStyle w:val="statutory-body-1em"/>
        <w:tabs>
          <w:tab w:val="left" w:pos="540"/>
        </w:tabs>
        <w:spacing w:before="0" w:beforeAutospacing="0" w:after="0" w:afterAutospacing="0"/>
        <w:ind w:left="360" w:hanging="360"/>
        <w:rPr>
          <w:rFonts w:asciiTheme="minorHAnsi" w:hAnsiTheme="minorHAnsi"/>
          <w:color w:val="000000"/>
          <w:sz w:val="20"/>
          <w:szCs w:val="20"/>
        </w:rPr>
      </w:pPr>
      <w:r w:rsidRPr="00605B56">
        <w:rPr>
          <w:rFonts w:asciiTheme="minorHAnsi" w:hAnsiTheme="minorHAnsi"/>
          <w:color w:val="000000"/>
          <w:sz w:val="20"/>
          <w:szCs w:val="20"/>
        </w:rPr>
        <w:t xml:space="preserve">(10) </w:t>
      </w:r>
      <w:r w:rsidR="00CC75BD">
        <w:rPr>
          <w:rFonts w:asciiTheme="minorHAnsi" w:hAnsiTheme="minorHAnsi"/>
          <w:color w:val="000000"/>
          <w:sz w:val="20"/>
          <w:szCs w:val="20"/>
        </w:rPr>
        <w:tab/>
      </w:r>
      <w:proofErr w:type="gramStart"/>
      <w:r w:rsidRPr="00605B56">
        <w:rPr>
          <w:rFonts w:asciiTheme="minorHAnsi" w:hAnsiTheme="minorHAnsi"/>
          <w:color w:val="000000"/>
          <w:sz w:val="20"/>
          <w:szCs w:val="20"/>
        </w:rPr>
        <w:t>criteria</w:t>
      </w:r>
      <w:proofErr w:type="gramEnd"/>
      <w:r w:rsidRPr="00605B56">
        <w:rPr>
          <w:rFonts w:asciiTheme="minorHAnsi" w:hAnsiTheme="minorHAnsi"/>
          <w:color w:val="000000"/>
          <w:sz w:val="20"/>
          <w:szCs w:val="20"/>
        </w:rPr>
        <w:t xml:space="preserve"> and procedures to be used for testing the operational system or its major components;</w:t>
      </w:r>
    </w:p>
    <w:p w14:paraId="103BE716" w14:textId="23E8E773" w:rsidR="00DE3C82" w:rsidRPr="00605B56" w:rsidRDefault="00DE3C82" w:rsidP="00CC75BD">
      <w:pPr>
        <w:pStyle w:val="statutory-body-1em"/>
        <w:tabs>
          <w:tab w:val="left" w:pos="540"/>
        </w:tabs>
        <w:spacing w:before="0" w:beforeAutospacing="0" w:after="0" w:afterAutospacing="0"/>
        <w:ind w:left="540" w:hanging="540"/>
        <w:rPr>
          <w:rFonts w:asciiTheme="minorHAnsi" w:hAnsiTheme="minorHAnsi"/>
          <w:color w:val="000000"/>
          <w:sz w:val="20"/>
          <w:szCs w:val="20"/>
        </w:rPr>
      </w:pPr>
      <w:r w:rsidRPr="00605B56">
        <w:rPr>
          <w:rFonts w:asciiTheme="minorHAnsi" w:hAnsiTheme="minorHAnsi"/>
          <w:color w:val="000000"/>
          <w:sz w:val="20"/>
          <w:szCs w:val="20"/>
        </w:rPr>
        <w:lastRenderedPageBreak/>
        <w:t xml:space="preserve">(11) </w:t>
      </w:r>
      <w:r w:rsidR="00CC75BD">
        <w:rPr>
          <w:rFonts w:asciiTheme="minorHAnsi" w:hAnsiTheme="minorHAnsi"/>
          <w:color w:val="000000"/>
          <w:sz w:val="20"/>
          <w:szCs w:val="20"/>
        </w:rPr>
        <w:tab/>
      </w:r>
      <w:proofErr w:type="gramStart"/>
      <w:r w:rsidRPr="00605B56">
        <w:rPr>
          <w:rFonts w:asciiTheme="minorHAnsi" w:hAnsiTheme="minorHAnsi"/>
          <w:color w:val="000000"/>
          <w:sz w:val="20"/>
          <w:szCs w:val="20"/>
        </w:rPr>
        <w:t>periodic</w:t>
      </w:r>
      <w:proofErr w:type="gramEnd"/>
      <w:r w:rsidRPr="00605B56">
        <w:rPr>
          <w:rFonts w:asciiTheme="minorHAnsi" w:hAnsiTheme="minorHAnsi"/>
          <w:color w:val="000000"/>
          <w:sz w:val="20"/>
          <w:szCs w:val="20"/>
        </w:rPr>
        <w:t xml:space="preserve"> updates of the plan, especially related to project budget and p</w:t>
      </w:r>
      <w:r w:rsidR="00CC75BD">
        <w:rPr>
          <w:rFonts w:asciiTheme="minorHAnsi" w:hAnsiTheme="minorHAnsi"/>
          <w:color w:val="000000"/>
          <w:sz w:val="20"/>
          <w:szCs w:val="20"/>
        </w:rPr>
        <w:t xml:space="preserve">roject schedule, financing, and </w:t>
      </w:r>
      <w:r w:rsidRPr="00605B56">
        <w:rPr>
          <w:rFonts w:asciiTheme="minorHAnsi" w:hAnsiTheme="minorHAnsi"/>
          <w:color w:val="000000"/>
          <w:sz w:val="20"/>
          <w:szCs w:val="20"/>
        </w:rPr>
        <w:t>ridership estimates; and</w:t>
      </w:r>
    </w:p>
    <w:p w14:paraId="103BE717" w14:textId="3903E93D" w:rsidR="00DE3C82" w:rsidRPr="00605B56" w:rsidRDefault="00DE3C82" w:rsidP="00376401">
      <w:pPr>
        <w:pStyle w:val="statutory-body-1em"/>
        <w:tabs>
          <w:tab w:val="left" w:pos="540"/>
        </w:tabs>
        <w:spacing w:before="0" w:beforeAutospacing="0" w:after="0" w:afterAutospacing="0"/>
        <w:ind w:left="360" w:hanging="360"/>
        <w:rPr>
          <w:rFonts w:asciiTheme="minorHAnsi" w:hAnsiTheme="minorHAnsi"/>
          <w:color w:val="000000"/>
          <w:sz w:val="20"/>
          <w:szCs w:val="20"/>
        </w:rPr>
      </w:pPr>
      <w:r w:rsidRPr="00605B56">
        <w:rPr>
          <w:rFonts w:asciiTheme="minorHAnsi" w:hAnsiTheme="minorHAnsi"/>
          <w:color w:val="000000"/>
          <w:sz w:val="20"/>
          <w:szCs w:val="20"/>
        </w:rPr>
        <w:t xml:space="preserve">(12) </w:t>
      </w:r>
      <w:r w:rsidR="00CC75BD">
        <w:rPr>
          <w:rFonts w:asciiTheme="minorHAnsi" w:hAnsiTheme="minorHAnsi"/>
          <w:color w:val="000000"/>
          <w:sz w:val="20"/>
          <w:szCs w:val="20"/>
        </w:rPr>
        <w:tab/>
      </w:r>
      <w:proofErr w:type="gramStart"/>
      <w:r w:rsidRPr="00605B56">
        <w:rPr>
          <w:rFonts w:asciiTheme="minorHAnsi" w:hAnsiTheme="minorHAnsi"/>
          <w:color w:val="000000"/>
          <w:sz w:val="20"/>
          <w:szCs w:val="20"/>
        </w:rPr>
        <w:t>the</w:t>
      </w:r>
      <w:proofErr w:type="gramEnd"/>
      <w:r w:rsidRPr="00605B56">
        <w:rPr>
          <w:rFonts w:asciiTheme="minorHAnsi" w:hAnsiTheme="minorHAnsi"/>
          <w:color w:val="000000"/>
          <w:sz w:val="20"/>
          <w:szCs w:val="20"/>
        </w:rPr>
        <w:t xml:space="preserve"> recipient's commitment to submit periodically a project budget and project schedule to the Secretary.</w:t>
      </w:r>
    </w:p>
    <w:p w14:paraId="103BE718" w14:textId="77777777" w:rsidR="00DE3C82" w:rsidRPr="00605B56" w:rsidRDefault="00DE3C82" w:rsidP="00DE3C82">
      <w:pPr>
        <w:pStyle w:val="Heading1"/>
      </w:pPr>
      <w:r w:rsidRPr="00605B56">
        <w:t>REQUIRED DOCUMENTS</w:t>
      </w:r>
    </w:p>
    <w:p w14:paraId="189A6017" w14:textId="3686275B" w:rsidR="00875657" w:rsidRPr="00605B56" w:rsidRDefault="00106C5F" w:rsidP="00DE3C82">
      <w:r w:rsidRPr="00605B56">
        <w:t xml:space="preserve">The </w:t>
      </w:r>
      <w:r w:rsidR="00632CB1" w:rsidRPr="00605B56">
        <w:t xml:space="preserve">MTAC will review the </w:t>
      </w:r>
      <w:r w:rsidR="005C0919" w:rsidRPr="00605B56">
        <w:t>Grantee</w:t>
      </w:r>
      <w:r w:rsidR="00DE3C82" w:rsidRPr="00605B56">
        <w:t xml:space="preserve">’s </w:t>
      </w:r>
      <w:r w:rsidR="002F7BB1" w:rsidRPr="00605B56">
        <w:t>PMP</w:t>
      </w:r>
      <w:r w:rsidR="00DE3C82" w:rsidRPr="00605B56">
        <w:t xml:space="preserve"> and PMP </w:t>
      </w:r>
      <w:r w:rsidR="002F7BB1" w:rsidRPr="00605B56">
        <w:t>s</w:t>
      </w:r>
      <w:r w:rsidR="00DE3C82" w:rsidRPr="00605B56">
        <w:t>ub-plans</w:t>
      </w:r>
      <w:r w:rsidR="00875657" w:rsidRPr="00605B56">
        <w:t xml:space="preserve"> such as Management Technical Capacity and Capability Plan; Safety and Security Management Plan; Real Estate Acquisition and Management Plan, etc.  </w:t>
      </w:r>
      <w:r w:rsidR="00DE3C82" w:rsidRPr="00605B56">
        <w:t xml:space="preserve"> </w:t>
      </w:r>
    </w:p>
    <w:p w14:paraId="103BE71A" w14:textId="77777777" w:rsidR="00DE3C82" w:rsidRPr="00605B56" w:rsidRDefault="00DE3C82" w:rsidP="00DE3C82">
      <w:pPr>
        <w:pStyle w:val="Heading1"/>
      </w:pPr>
      <w:r w:rsidRPr="00605B56">
        <w:t>Scope Of work</w:t>
      </w:r>
    </w:p>
    <w:p w14:paraId="103BE71B" w14:textId="441C79BC" w:rsidR="00DE3C82" w:rsidRPr="00605B56" w:rsidRDefault="00DE3C82" w:rsidP="00AC28AD">
      <w:pPr>
        <w:pStyle w:val="Bullet"/>
        <w:numPr>
          <w:ilvl w:val="0"/>
          <w:numId w:val="0"/>
        </w:numPr>
      </w:pPr>
      <w:r w:rsidRPr="00605B56">
        <w:t xml:space="preserve">The </w:t>
      </w:r>
      <w:r w:rsidR="00AC28AD">
        <w:t xml:space="preserve">MTAC should review the </w:t>
      </w:r>
      <w:r w:rsidR="005C0919" w:rsidRPr="00605B56">
        <w:t>Grantee</w:t>
      </w:r>
      <w:r w:rsidR="00AC28AD">
        <w:t xml:space="preserve">’s PMP </w:t>
      </w:r>
      <w:r w:rsidRPr="00605B56">
        <w:t>submit</w:t>
      </w:r>
      <w:r w:rsidR="00AC28AD">
        <w:t>tal, typically provided once per project phase, although interim s</w:t>
      </w:r>
      <w:r w:rsidRPr="00605B56">
        <w:t>ubmittals</w:t>
      </w:r>
      <w:r w:rsidR="00AC28AD">
        <w:t xml:space="preserve"> may be required for particularly long phases or ga</w:t>
      </w:r>
      <w:r w:rsidRPr="00605B56">
        <w:t>ps between phases</w:t>
      </w:r>
      <w:r w:rsidR="00AC28AD">
        <w:t xml:space="preserve">; </w:t>
      </w:r>
      <w:r w:rsidRPr="00605B56">
        <w:t xml:space="preserve">changes in policies, procedures, or procurement methods; changes in organization leadership or responsibilities; </w:t>
      </w:r>
      <w:r w:rsidR="00106C5F" w:rsidRPr="00605B56">
        <w:t xml:space="preserve">and </w:t>
      </w:r>
      <w:r w:rsidRPr="00605B56">
        <w:t>program, logistics, or scope changes.</w:t>
      </w:r>
    </w:p>
    <w:p w14:paraId="1D0FB4F5" w14:textId="77777777" w:rsidR="0087351C" w:rsidRPr="00605B56" w:rsidRDefault="0087351C" w:rsidP="00AC28AD">
      <w:pPr>
        <w:pStyle w:val="Bullet"/>
        <w:numPr>
          <w:ilvl w:val="0"/>
          <w:numId w:val="0"/>
        </w:numPr>
      </w:pPr>
    </w:p>
    <w:p w14:paraId="5EC61A0E" w14:textId="41D17BF0" w:rsidR="0027200B" w:rsidRDefault="00060C16" w:rsidP="00AC28AD">
      <w:r w:rsidRPr="00605B56">
        <w:t xml:space="preserve">Appendix A </w:t>
      </w:r>
      <w:r w:rsidR="00AC28AD">
        <w:t xml:space="preserve">below </w:t>
      </w:r>
      <w:r w:rsidRPr="00605B56">
        <w:t>includes</w:t>
      </w:r>
      <w:r w:rsidR="00632CB1" w:rsidRPr="00605B56">
        <w:t xml:space="preserve"> </w:t>
      </w:r>
      <w:r w:rsidR="00AC28AD">
        <w:t>a</w:t>
      </w:r>
      <w:r w:rsidR="00DE3C82" w:rsidRPr="00605B56">
        <w:t xml:space="preserve"> PMP Table of Contents (TOC).  Using th</w:t>
      </w:r>
      <w:r w:rsidR="00AC28AD">
        <w:t>is</w:t>
      </w:r>
      <w:r w:rsidR="00DE3C82" w:rsidRPr="00605B56">
        <w:t xml:space="preserve"> TOC as a guide, the </w:t>
      </w:r>
      <w:r w:rsidR="005C0919" w:rsidRPr="00605B56">
        <w:t>Grantee</w:t>
      </w:r>
      <w:r w:rsidR="00DE3C82" w:rsidRPr="00605B56">
        <w:t xml:space="preserve"> </w:t>
      </w:r>
      <w:r w:rsidR="00632CB1" w:rsidRPr="00605B56">
        <w:t>should</w:t>
      </w:r>
      <w:r w:rsidR="00DE3C82" w:rsidRPr="00605B56">
        <w:t xml:space="preserve"> provide FRA with a PMP developed to the level of completeness </w:t>
      </w:r>
      <w:r w:rsidR="00632CB1" w:rsidRPr="00605B56">
        <w:t>shown</w:t>
      </w:r>
      <w:r w:rsidR="00DE3C82" w:rsidRPr="00605B56">
        <w:t xml:space="preserve"> for each phase.  </w:t>
      </w:r>
      <w:r w:rsidR="00AC28AD">
        <w:t>Also, t</w:t>
      </w:r>
      <w:r w:rsidR="00DE3C82" w:rsidRPr="00605B56">
        <w:t xml:space="preserve">he </w:t>
      </w:r>
      <w:r w:rsidR="005C0919" w:rsidRPr="00605B56">
        <w:t>Grantee</w:t>
      </w:r>
      <w:r w:rsidR="00DE3C82" w:rsidRPr="00605B56">
        <w:t xml:space="preserve"> should appropriately scale the PMP to the complexity and size of the project</w:t>
      </w:r>
      <w:r w:rsidR="0027200B" w:rsidRPr="00605B56">
        <w:t xml:space="preserve">. </w:t>
      </w:r>
    </w:p>
    <w:p w14:paraId="1CBB9973" w14:textId="77777777" w:rsidR="00AC28AD" w:rsidRPr="00605B56" w:rsidRDefault="00AC28AD" w:rsidP="00AC28AD"/>
    <w:p w14:paraId="103BE723" w14:textId="6DCEE03B" w:rsidR="00DE3C82" w:rsidRPr="00605B56" w:rsidRDefault="00DE3C82" w:rsidP="00AC28AD">
      <w:pPr>
        <w:pStyle w:val="Bullet"/>
        <w:numPr>
          <w:ilvl w:val="0"/>
          <w:numId w:val="0"/>
        </w:numPr>
      </w:pPr>
      <w:r w:rsidRPr="00605B56">
        <w:t xml:space="preserve">The PMP should demonstrate the </w:t>
      </w:r>
      <w:r w:rsidR="005C0919" w:rsidRPr="00605B56">
        <w:t>Grantee</w:t>
      </w:r>
      <w:r w:rsidRPr="00605B56">
        <w:t>’s technical capacity and ability to:</w:t>
      </w:r>
    </w:p>
    <w:p w14:paraId="103BE724" w14:textId="77777777" w:rsidR="00DE3C82" w:rsidRPr="00605B56" w:rsidRDefault="002710FA" w:rsidP="00AC28AD">
      <w:pPr>
        <w:pStyle w:val="hsr1"/>
      </w:pPr>
      <w:r w:rsidRPr="00605B56">
        <w:tab/>
      </w:r>
      <w:r w:rsidR="00DE3C82" w:rsidRPr="00605B56">
        <w:t>Effectively and efficiently manage the proposed project</w:t>
      </w:r>
    </w:p>
    <w:p w14:paraId="103BE725" w14:textId="15821CA7" w:rsidR="00DE3C82" w:rsidRPr="00605B56" w:rsidRDefault="002710FA" w:rsidP="00AC28AD">
      <w:pPr>
        <w:pStyle w:val="hsr1"/>
      </w:pPr>
      <w:r w:rsidRPr="00605B56">
        <w:tab/>
      </w:r>
      <w:r w:rsidR="0027200B" w:rsidRPr="00605B56">
        <w:t>Recognize and cooperate with project oversight activities by FRA/</w:t>
      </w:r>
      <w:r w:rsidR="00DE3C82" w:rsidRPr="00605B56">
        <w:t>MTAC</w:t>
      </w:r>
    </w:p>
    <w:p w14:paraId="103BE726" w14:textId="77777777" w:rsidR="00DE3C82" w:rsidRPr="00605B56" w:rsidRDefault="002710FA" w:rsidP="00AC28AD">
      <w:pPr>
        <w:pStyle w:val="hsr1"/>
      </w:pPr>
      <w:r w:rsidRPr="00605B56">
        <w:tab/>
      </w:r>
      <w:r w:rsidR="00DE3C82" w:rsidRPr="00605B56">
        <w:t xml:space="preserve">Provide directly or by contract: </w:t>
      </w:r>
    </w:p>
    <w:p w14:paraId="103BE727" w14:textId="77777777" w:rsidR="00DE3C82" w:rsidRPr="00605B56" w:rsidRDefault="00DE3C82" w:rsidP="00AC28AD">
      <w:pPr>
        <w:pStyle w:val="hsr2"/>
      </w:pPr>
      <w:r w:rsidRPr="00605B56">
        <w:t>Adequate professional and technical expertise for project design and construction</w:t>
      </w:r>
    </w:p>
    <w:p w14:paraId="103BE728" w14:textId="77777777" w:rsidR="00DE3C82" w:rsidRPr="00605B56" w:rsidRDefault="00DE3C82" w:rsidP="00AC28AD">
      <w:pPr>
        <w:pStyle w:val="hsr2"/>
      </w:pPr>
      <w:r w:rsidRPr="00605B56">
        <w:t>Qualified services for testing and start-up work</w:t>
      </w:r>
    </w:p>
    <w:p w14:paraId="103BE729" w14:textId="77777777" w:rsidR="00DE3C82" w:rsidRPr="00605B56" w:rsidRDefault="00DE3C82" w:rsidP="00AC28AD">
      <w:pPr>
        <w:pStyle w:val="hsr2"/>
      </w:pPr>
      <w:r w:rsidRPr="00605B56">
        <w:t>Qualified services for construction inspection and supervision</w:t>
      </w:r>
    </w:p>
    <w:p w14:paraId="103BE72A" w14:textId="77777777" w:rsidR="00DE3C82" w:rsidRPr="00605B56" w:rsidRDefault="002710FA" w:rsidP="00AC28AD">
      <w:pPr>
        <w:pStyle w:val="hsr1"/>
      </w:pPr>
      <w:r w:rsidRPr="00605B56">
        <w:tab/>
      </w:r>
      <w:r w:rsidR="00DE3C82" w:rsidRPr="00605B56">
        <w:t xml:space="preserve">Ensure the project conforms with: </w:t>
      </w:r>
    </w:p>
    <w:p w14:paraId="103BE72B" w14:textId="77777777" w:rsidR="00DE3C82" w:rsidRPr="00605B56" w:rsidRDefault="00DE3C82" w:rsidP="00AC28AD">
      <w:pPr>
        <w:pStyle w:val="hsr2"/>
      </w:pPr>
      <w:r w:rsidRPr="00605B56">
        <w:t>Grant agreements</w:t>
      </w:r>
    </w:p>
    <w:p w14:paraId="103BE72C" w14:textId="77777777" w:rsidR="00DE3C82" w:rsidRPr="00605B56" w:rsidRDefault="00DE3C82" w:rsidP="00AC28AD">
      <w:pPr>
        <w:pStyle w:val="hsr2"/>
      </w:pPr>
      <w:r w:rsidRPr="00605B56">
        <w:t>Applicable statutes</w:t>
      </w:r>
    </w:p>
    <w:p w14:paraId="103BE72D" w14:textId="77777777" w:rsidR="00DE3C82" w:rsidRPr="00605B56" w:rsidRDefault="00DE3C82" w:rsidP="00AC28AD">
      <w:pPr>
        <w:pStyle w:val="hsr2"/>
      </w:pPr>
      <w:r w:rsidRPr="00605B56">
        <w:t>Regulations, codes, and ordinances</w:t>
      </w:r>
    </w:p>
    <w:p w14:paraId="103BE72E" w14:textId="77777777" w:rsidR="00DE3C82" w:rsidRPr="00605B56" w:rsidRDefault="00DE3C82" w:rsidP="002710FA">
      <w:pPr>
        <w:pStyle w:val="hsr2"/>
      </w:pPr>
      <w:r w:rsidRPr="00605B56">
        <w:lastRenderedPageBreak/>
        <w:t>Safety standards</w:t>
      </w:r>
    </w:p>
    <w:p w14:paraId="103BE72F" w14:textId="77777777" w:rsidR="00DE3C82" w:rsidRPr="00605B56" w:rsidRDefault="002710FA" w:rsidP="002710FA">
      <w:pPr>
        <w:pStyle w:val="hsr1"/>
      </w:pPr>
      <w:r w:rsidRPr="00605B56">
        <w:tab/>
      </w:r>
      <w:r w:rsidR="00DE3C82" w:rsidRPr="00605B56">
        <w:t xml:space="preserve">Establish and maintain adequate internal controls for: </w:t>
      </w:r>
    </w:p>
    <w:p w14:paraId="4AA0255E" w14:textId="4E5A7DBE" w:rsidR="00FD6C7D" w:rsidRPr="00605B56" w:rsidRDefault="00FD6C7D" w:rsidP="002710FA">
      <w:pPr>
        <w:pStyle w:val="hsr2"/>
      </w:pPr>
      <w:r w:rsidRPr="00605B56">
        <w:t xml:space="preserve">Scope, cost, schedule, risk, as related to design and construction </w:t>
      </w:r>
    </w:p>
    <w:p w14:paraId="103BE731" w14:textId="59798080" w:rsidR="00DE3C82" w:rsidRPr="00605B56" w:rsidRDefault="00DE3C82" w:rsidP="002710FA">
      <w:pPr>
        <w:pStyle w:val="hsr2"/>
      </w:pPr>
      <w:r w:rsidRPr="00605B56">
        <w:t>System operations</w:t>
      </w:r>
      <w:r w:rsidR="00FD6C7D" w:rsidRPr="00605B56">
        <w:t xml:space="preserve"> and s</w:t>
      </w:r>
      <w:r w:rsidRPr="00605B56">
        <w:t>ervice schedules</w:t>
      </w:r>
    </w:p>
    <w:p w14:paraId="103BE732" w14:textId="4C4431B6" w:rsidR="00DE3C82" w:rsidRPr="00605B56" w:rsidRDefault="00DE3C82" w:rsidP="002710FA">
      <w:pPr>
        <w:pStyle w:val="hsr2"/>
      </w:pPr>
      <w:r w:rsidRPr="00605B56">
        <w:t xml:space="preserve">Financial </w:t>
      </w:r>
      <w:r w:rsidR="00FD6C7D" w:rsidRPr="00605B56">
        <w:t xml:space="preserve">planning and </w:t>
      </w:r>
      <w:r w:rsidRPr="00605B56">
        <w:t xml:space="preserve">reporting </w:t>
      </w:r>
      <w:r w:rsidR="00FD6C7D" w:rsidRPr="00605B56">
        <w:t xml:space="preserve">for </w:t>
      </w:r>
      <w:r w:rsidRPr="00605B56">
        <w:t xml:space="preserve">capital and operations  </w:t>
      </w:r>
    </w:p>
    <w:p w14:paraId="103BE733" w14:textId="77777777" w:rsidR="00DE3C82" w:rsidRPr="00605B56" w:rsidRDefault="00DE3C82" w:rsidP="00DE3C82">
      <w:pPr>
        <w:pStyle w:val="Bullet"/>
        <w:numPr>
          <w:ilvl w:val="0"/>
          <w:numId w:val="0"/>
        </w:numPr>
      </w:pPr>
    </w:p>
    <w:p w14:paraId="103BE734" w14:textId="2A0191D0" w:rsidR="00DE3C82" w:rsidRPr="00605B56" w:rsidRDefault="00DE3C82" w:rsidP="00DE3C82">
      <w:pPr>
        <w:pStyle w:val="Bullet"/>
        <w:numPr>
          <w:ilvl w:val="0"/>
          <w:numId w:val="0"/>
        </w:numPr>
      </w:pPr>
      <w:r w:rsidRPr="00605B56">
        <w:t xml:space="preserve">For </w:t>
      </w:r>
      <w:r w:rsidR="005C0919" w:rsidRPr="00605B56">
        <w:t>Grantee</w:t>
      </w:r>
      <w:r w:rsidRPr="00605B56">
        <w:t xml:space="preserve"> PMP submissions during each phase, the MTAC will </w:t>
      </w:r>
      <w:r w:rsidR="00FD6C7D" w:rsidRPr="00605B56">
        <w:t xml:space="preserve">characterize and </w:t>
      </w:r>
      <w:r w:rsidRPr="00605B56">
        <w:t>assess</w:t>
      </w:r>
      <w:r w:rsidR="00FD6C7D" w:rsidRPr="00605B56">
        <w:t xml:space="preserve"> it; </w:t>
      </w:r>
      <w:r w:rsidRPr="00605B56">
        <w:t>provide findings</w:t>
      </w:r>
      <w:r w:rsidR="00FD6C7D" w:rsidRPr="00605B56">
        <w:t xml:space="preserve">; conduct </w:t>
      </w:r>
      <w:r w:rsidRPr="00605B56">
        <w:t>analyses</w:t>
      </w:r>
      <w:r w:rsidR="00FD6C7D" w:rsidRPr="00605B56">
        <w:t xml:space="preserve"> as required;</w:t>
      </w:r>
      <w:r w:rsidRPr="00605B56">
        <w:t xml:space="preserve"> </w:t>
      </w:r>
      <w:r w:rsidR="00FD6C7D" w:rsidRPr="00605B56">
        <w:t xml:space="preserve">provide </w:t>
      </w:r>
      <w:r w:rsidRPr="00605B56">
        <w:t>professional opinions and recommendations for improvement</w:t>
      </w:r>
      <w:r w:rsidR="00FD6C7D" w:rsidRPr="00605B56">
        <w:t>, considering t</w:t>
      </w:r>
      <w:r w:rsidRPr="00605B56">
        <w:t>he following:</w:t>
      </w:r>
    </w:p>
    <w:p w14:paraId="103BE735" w14:textId="6765ADAC" w:rsidR="00DE3C82" w:rsidRPr="00605B56" w:rsidRDefault="002710FA" w:rsidP="00B5008C">
      <w:pPr>
        <w:pStyle w:val="hsr1"/>
        <w:numPr>
          <w:ilvl w:val="0"/>
          <w:numId w:val="10"/>
        </w:numPr>
      </w:pPr>
      <w:r w:rsidRPr="00605B56">
        <w:tab/>
        <w:t>U</w:t>
      </w:r>
      <w:r w:rsidR="00DE3C82" w:rsidRPr="00605B56">
        <w:t>sefulness as an overarching project implementation plan</w:t>
      </w:r>
    </w:p>
    <w:p w14:paraId="103BE736" w14:textId="7AFE2596" w:rsidR="00DE3C82" w:rsidRPr="00605B56" w:rsidRDefault="002710FA" w:rsidP="002710FA">
      <w:pPr>
        <w:pStyle w:val="hsr1"/>
      </w:pPr>
      <w:r w:rsidRPr="00605B56">
        <w:tab/>
        <w:t>A</w:t>
      </w:r>
      <w:r w:rsidR="00DE3C82" w:rsidRPr="00605B56">
        <w:t>dequacy and soundness of PMP elements and sub-plans</w:t>
      </w:r>
    </w:p>
    <w:p w14:paraId="103BE737" w14:textId="2C182B5A" w:rsidR="00DE3C82" w:rsidRPr="00605B56" w:rsidRDefault="002710FA" w:rsidP="002710FA">
      <w:pPr>
        <w:pStyle w:val="hsr1"/>
      </w:pPr>
      <w:r w:rsidRPr="00605B56">
        <w:tab/>
        <w:t>L</w:t>
      </w:r>
      <w:r w:rsidR="00DE3C82" w:rsidRPr="00605B56">
        <w:t>evel of completeness for current phase</w:t>
      </w:r>
      <w:r w:rsidRPr="00605B56">
        <w:t>, and</w:t>
      </w:r>
      <w:r w:rsidR="00DE3C82" w:rsidRPr="00605B56">
        <w:t xml:space="preserve"> readiness for the next phase</w:t>
      </w:r>
    </w:p>
    <w:p w14:paraId="103BE738" w14:textId="7D8CDF4F" w:rsidR="00DE3C82" w:rsidRPr="00605B56" w:rsidRDefault="002710FA" w:rsidP="002710FA">
      <w:pPr>
        <w:pStyle w:val="hsr1"/>
      </w:pPr>
      <w:r w:rsidRPr="00605B56">
        <w:tab/>
        <w:t>I</w:t>
      </w:r>
      <w:r w:rsidR="00DE3C82" w:rsidRPr="00605B56">
        <w:t>ndication of PMP elements and sub-plans recommended for acceptance</w:t>
      </w:r>
      <w:r w:rsidR="00FD6C7D" w:rsidRPr="00605B56">
        <w:t xml:space="preserve"> or</w:t>
      </w:r>
      <w:r w:rsidR="00DE3C82" w:rsidRPr="00605B56">
        <w:t xml:space="preserve"> revision</w:t>
      </w:r>
    </w:p>
    <w:p w14:paraId="103BE739" w14:textId="77777777" w:rsidR="00DE3C82" w:rsidRPr="00605B56" w:rsidRDefault="00DE3C82" w:rsidP="00DE3C82">
      <w:pPr>
        <w:pStyle w:val="Bullet"/>
        <w:numPr>
          <w:ilvl w:val="0"/>
          <w:numId w:val="0"/>
        </w:numPr>
        <w:ind w:left="691"/>
      </w:pPr>
    </w:p>
    <w:p w14:paraId="103BE73A" w14:textId="6A7765D0" w:rsidR="00DE3C82" w:rsidRPr="00605B56" w:rsidRDefault="00161FF8" w:rsidP="00DE3C82">
      <w:pPr>
        <w:pStyle w:val="Bullet"/>
        <w:numPr>
          <w:ilvl w:val="0"/>
          <w:numId w:val="0"/>
        </w:numPr>
      </w:pPr>
      <w:r w:rsidRPr="00605B56">
        <w:t>For each phase below, the MTAC should review and summarize its findings, professional opinions, and recommendations for improvement, considering the adequacy and soundness of the Grantee’s PMP for this phase and readiness for the next phase.  The MTAC should provide suggestions and recommendations to the Grantee to help resolve issues that arise.</w:t>
      </w:r>
    </w:p>
    <w:p w14:paraId="103BE73B" w14:textId="77777777" w:rsidR="00DE3C82" w:rsidRPr="00605B56" w:rsidRDefault="00DE3C82" w:rsidP="00DE3C82">
      <w:pPr>
        <w:pStyle w:val="Heading2"/>
      </w:pPr>
      <w:r w:rsidRPr="00605B56">
        <w:t>Cursory Review</w:t>
      </w:r>
    </w:p>
    <w:p w14:paraId="103BE73D" w14:textId="652462F4" w:rsidR="00DE3C82" w:rsidRPr="00605B56" w:rsidRDefault="00632CB1" w:rsidP="005002EF">
      <w:pPr>
        <w:pStyle w:val="123List"/>
        <w:ind w:left="0" w:firstLine="0"/>
      </w:pPr>
      <w:r w:rsidRPr="00605B56">
        <w:t>After receiving</w:t>
      </w:r>
      <w:r w:rsidR="00DE3C82" w:rsidRPr="00605B56">
        <w:t xml:space="preserve"> the </w:t>
      </w:r>
      <w:r w:rsidR="005C0919" w:rsidRPr="00605B56">
        <w:t>Grantee</w:t>
      </w:r>
      <w:r w:rsidR="00DE3C82" w:rsidRPr="00605B56">
        <w:t>’s PMP submission</w:t>
      </w:r>
      <w:r w:rsidR="00AD1A71" w:rsidRPr="00605B56">
        <w:t>,</w:t>
      </w:r>
      <w:r w:rsidR="00DE3C82" w:rsidRPr="00605B56">
        <w:t xml:space="preserve"> the MTAC will quickly scrutinize the PMP</w:t>
      </w:r>
      <w:r w:rsidRPr="00605B56">
        <w:t xml:space="preserve"> for adequacy and completeness.</w:t>
      </w:r>
      <w:r w:rsidR="00DE3C82" w:rsidRPr="00605B56">
        <w:t xml:space="preserve"> </w:t>
      </w:r>
      <w:r w:rsidR="00AD1A71" w:rsidRPr="00605B56">
        <w:t xml:space="preserve"> </w:t>
      </w:r>
      <w:r w:rsidR="00DE3C82" w:rsidRPr="00605B56">
        <w:t xml:space="preserve">If the PMP is unsatisfactory the MTAC will </w:t>
      </w:r>
      <w:r w:rsidR="00E66C3E" w:rsidRPr="00605B56">
        <w:t xml:space="preserve">notify the appropriate FRA Regional Manager in the Office of Passenger and Freight Programs with recommendations for improvement.  If directed, the MTAC will provide technical assistance to the Grantee.  The Grantee will then </w:t>
      </w:r>
      <w:r w:rsidR="00DE3C82" w:rsidRPr="00605B56">
        <w:t xml:space="preserve">complete necessary revisions and </w:t>
      </w:r>
      <w:r w:rsidR="003F4194" w:rsidRPr="00605B56">
        <w:t>resubmit</w:t>
      </w:r>
      <w:r w:rsidR="00DE3C82" w:rsidRPr="00605B56">
        <w:t>.</w:t>
      </w:r>
    </w:p>
    <w:p w14:paraId="103BE73E" w14:textId="2080E4C8" w:rsidR="00DE3C82" w:rsidRPr="00605B56" w:rsidRDefault="00DE3C82" w:rsidP="005002EF">
      <w:pPr>
        <w:pStyle w:val="Heading2"/>
        <w:keepNext w:val="0"/>
        <w:keepLines w:val="0"/>
      </w:pPr>
      <w:r w:rsidRPr="00605B56">
        <w:t xml:space="preserve">Planning and Conceptual Design </w:t>
      </w:r>
    </w:p>
    <w:p w14:paraId="103BE73F" w14:textId="192A82C4" w:rsidR="00DE3C82" w:rsidRPr="00605B56" w:rsidRDefault="00206D1A" w:rsidP="00B5008C">
      <w:pPr>
        <w:pStyle w:val="hsr1"/>
        <w:numPr>
          <w:ilvl w:val="0"/>
          <w:numId w:val="11"/>
        </w:numPr>
      </w:pPr>
      <w:r w:rsidRPr="00605B56">
        <w:tab/>
      </w:r>
      <w:r w:rsidR="00DE3C82" w:rsidRPr="00605B56">
        <w:t>Early Workshop</w:t>
      </w:r>
      <w:r w:rsidR="003F4194" w:rsidRPr="00605B56">
        <w:t>:</w:t>
      </w:r>
      <w:r w:rsidR="00DE3C82" w:rsidRPr="00605B56">
        <w:t xml:space="preserve"> </w:t>
      </w:r>
    </w:p>
    <w:p w14:paraId="103BE740" w14:textId="1D1775A6" w:rsidR="00DE3C82" w:rsidRPr="00605B56" w:rsidRDefault="00DE3C82" w:rsidP="00FD6C7D">
      <w:pPr>
        <w:pStyle w:val="hsr2"/>
      </w:pPr>
      <w:r w:rsidRPr="00605B56">
        <w:t xml:space="preserve">FRA or its MTAC may recommend that the </w:t>
      </w:r>
      <w:r w:rsidR="005C0919" w:rsidRPr="00605B56">
        <w:t>Grantee</w:t>
      </w:r>
      <w:r w:rsidRPr="00605B56">
        <w:t xml:space="preserve"> conduct a PMP workshop to </w:t>
      </w:r>
      <w:r w:rsidR="00FD6C7D" w:rsidRPr="00605B56">
        <w:t xml:space="preserve">establish an atmosphere of partnership and collaboration and </w:t>
      </w:r>
      <w:r w:rsidRPr="00605B56">
        <w:t xml:space="preserve">help define baseline standards of performance for project management. </w:t>
      </w:r>
      <w:r w:rsidR="00AD1A71" w:rsidRPr="00605B56">
        <w:t xml:space="preserve"> </w:t>
      </w:r>
      <w:r w:rsidR="00206D1A" w:rsidRPr="00605B56">
        <w:t>Collaboration among</w:t>
      </w:r>
      <w:r w:rsidRPr="00605B56">
        <w:t xml:space="preserve"> the </w:t>
      </w:r>
      <w:r w:rsidR="005C0919" w:rsidRPr="00605B56">
        <w:t>Grantee</w:t>
      </w:r>
      <w:r w:rsidRPr="00605B56">
        <w:t>’s leadership and project team</w:t>
      </w:r>
      <w:r w:rsidR="00206D1A" w:rsidRPr="00605B56">
        <w:t>s</w:t>
      </w:r>
      <w:r w:rsidRPr="00605B56">
        <w:t xml:space="preserve">, FRA, </w:t>
      </w:r>
      <w:r w:rsidR="00FD6C7D" w:rsidRPr="00605B56">
        <w:t xml:space="preserve">host railroads, </w:t>
      </w:r>
      <w:r w:rsidRPr="00605B56">
        <w:t xml:space="preserve">other transportation agencies, and </w:t>
      </w:r>
      <w:r w:rsidR="00FD6C7D" w:rsidRPr="00605B56">
        <w:t xml:space="preserve">other </w:t>
      </w:r>
      <w:r w:rsidRPr="00605B56">
        <w:t xml:space="preserve">relevant third parties early in the project life </w:t>
      </w:r>
      <w:r w:rsidR="00206D1A" w:rsidRPr="00605B56">
        <w:t>increase understanding of</w:t>
      </w:r>
      <w:r w:rsidRPr="00605B56">
        <w:t xml:space="preserve"> requirements, responsibilities, and authorities.  Vital project implementation topics can </w:t>
      </w:r>
      <w:r w:rsidR="00E6198D" w:rsidRPr="00605B56">
        <w:t>also be</w:t>
      </w:r>
      <w:r w:rsidRPr="00605B56">
        <w:t xml:space="preserve"> fully explored. </w:t>
      </w:r>
      <w:r w:rsidR="003F4194" w:rsidRPr="00605B56">
        <w:t xml:space="preserve"> </w:t>
      </w:r>
      <w:r w:rsidRPr="00605B56">
        <w:t xml:space="preserve">FRA can share </w:t>
      </w:r>
      <w:r w:rsidR="00AD1A71" w:rsidRPr="00605B56">
        <w:t>F</w:t>
      </w:r>
      <w:r w:rsidRPr="00605B56">
        <w:t xml:space="preserve">ederal requirements for a major capital project and explain </w:t>
      </w:r>
      <w:r w:rsidR="00FD6C7D" w:rsidRPr="00605B56">
        <w:t>the</w:t>
      </w:r>
      <w:r w:rsidRPr="00605B56">
        <w:t xml:space="preserve"> oversight process.</w:t>
      </w:r>
      <w:r w:rsidR="003F4194" w:rsidRPr="00605B56">
        <w:t xml:space="preserve"> </w:t>
      </w:r>
      <w:r w:rsidRPr="00605B56">
        <w:t xml:space="preserve"> Discussion topics may include: </w:t>
      </w:r>
    </w:p>
    <w:p w14:paraId="1E79D987" w14:textId="56DFF677" w:rsidR="0082698D" w:rsidRPr="00605B56" w:rsidRDefault="00DE3C82" w:rsidP="0082698D">
      <w:pPr>
        <w:pStyle w:val="hsr3"/>
        <w:numPr>
          <w:ilvl w:val="2"/>
          <w:numId w:val="15"/>
        </w:numPr>
      </w:pPr>
      <w:r w:rsidRPr="00605B56">
        <w:t>Elements and sub</w:t>
      </w:r>
      <w:r w:rsidR="00206D1A" w:rsidRPr="00605B56">
        <w:t>-</w:t>
      </w:r>
      <w:r w:rsidRPr="00605B56">
        <w:t>plans of the PMP</w:t>
      </w:r>
    </w:p>
    <w:p w14:paraId="68FF06C6" w14:textId="1AB3C814" w:rsidR="0082698D" w:rsidRPr="00605B56" w:rsidRDefault="0082698D" w:rsidP="0081404F">
      <w:pPr>
        <w:pStyle w:val="hsr3"/>
        <w:numPr>
          <w:ilvl w:val="2"/>
          <w:numId w:val="15"/>
        </w:numPr>
      </w:pPr>
      <w:r w:rsidRPr="00605B56">
        <w:t>Agreements required</w:t>
      </w:r>
    </w:p>
    <w:p w14:paraId="103BE743" w14:textId="0F22C7F6" w:rsidR="00DE3C82" w:rsidRPr="00605B56" w:rsidRDefault="00DE3C82" w:rsidP="0081404F">
      <w:pPr>
        <w:pStyle w:val="hsr3"/>
        <w:numPr>
          <w:ilvl w:val="2"/>
          <w:numId w:val="15"/>
        </w:numPr>
      </w:pPr>
      <w:r w:rsidRPr="00605B56">
        <w:t>Real estate requirements</w:t>
      </w:r>
      <w:r w:rsidR="00291223" w:rsidRPr="00605B56">
        <w:t>; e</w:t>
      </w:r>
      <w:r w:rsidRPr="00605B56">
        <w:t>minent domain authority and protocols</w:t>
      </w:r>
    </w:p>
    <w:p w14:paraId="103BE744" w14:textId="77777777" w:rsidR="00DE3C82" w:rsidRPr="00605B56" w:rsidRDefault="00DE3C82" w:rsidP="0081404F">
      <w:pPr>
        <w:pStyle w:val="hsr3"/>
        <w:numPr>
          <w:ilvl w:val="2"/>
          <w:numId w:val="15"/>
        </w:numPr>
      </w:pPr>
      <w:r w:rsidRPr="00605B56">
        <w:t>Service planning methods</w:t>
      </w:r>
    </w:p>
    <w:p w14:paraId="103BE745" w14:textId="77777777" w:rsidR="00DE3C82" w:rsidRPr="00605B56" w:rsidRDefault="00DE3C82" w:rsidP="0081404F">
      <w:pPr>
        <w:pStyle w:val="hsr3"/>
        <w:numPr>
          <w:ilvl w:val="2"/>
          <w:numId w:val="15"/>
        </w:numPr>
      </w:pPr>
      <w:r w:rsidRPr="00605B56">
        <w:t>Environmental process, and permitting requirements and protocols</w:t>
      </w:r>
    </w:p>
    <w:p w14:paraId="103BE747" w14:textId="44B22D4F" w:rsidR="00DE3C82" w:rsidRPr="00605B56" w:rsidRDefault="00DE3C82" w:rsidP="0081404F">
      <w:pPr>
        <w:pStyle w:val="hsr3"/>
        <w:numPr>
          <w:ilvl w:val="2"/>
          <w:numId w:val="15"/>
        </w:numPr>
      </w:pPr>
      <w:r w:rsidRPr="00605B56">
        <w:t>Delivery methods, authorities</w:t>
      </w:r>
      <w:r w:rsidR="00E6198D" w:rsidRPr="00605B56">
        <w:t>,</w:t>
      </w:r>
      <w:r w:rsidRPr="00605B56">
        <w:t xml:space="preserve"> and protocols</w:t>
      </w:r>
    </w:p>
    <w:p w14:paraId="103BE748" w14:textId="7A9B3AF0" w:rsidR="00DE3C82" w:rsidRPr="00605B56" w:rsidRDefault="00206D1A" w:rsidP="00206D1A">
      <w:pPr>
        <w:pStyle w:val="hsr1"/>
      </w:pPr>
      <w:r w:rsidRPr="00605B56">
        <w:tab/>
      </w:r>
      <w:r w:rsidR="00DE3C82" w:rsidRPr="00605B56">
        <w:t xml:space="preserve">The MTAC should review the PMP for the </w:t>
      </w:r>
      <w:r w:rsidR="005C0919" w:rsidRPr="00605B56">
        <w:t>Grantee</w:t>
      </w:r>
      <w:r w:rsidR="00DE3C82" w:rsidRPr="00605B56">
        <w:t>’s description of its intended management approach to:</w:t>
      </w:r>
    </w:p>
    <w:p w14:paraId="0BD58D06" w14:textId="0CFA47BD" w:rsidR="0087351C" w:rsidRPr="00605B56" w:rsidRDefault="00DE3C82" w:rsidP="00206D1A">
      <w:pPr>
        <w:pStyle w:val="hsr2"/>
      </w:pPr>
      <w:r w:rsidRPr="00605B56">
        <w:lastRenderedPageBreak/>
        <w:t xml:space="preserve">Planning and concept design </w:t>
      </w:r>
      <w:r w:rsidR="0087351C" w:rsidRPr="00605B56">
        <w:t>(</w:t>
      </w:r>
      <w:r w:rsidR="0087351C" w:rsidRPr="00605B56">
        <w:rPr>
          <w:b/>
        </w:rPr>
        <w:t>see MP 32A</w:t>
      </w:r>
      <w:r w:rsidR="0087351C" w:rsidRPr="00605B56">
        <w:t>)</w:t>
      </w:r>
    </w:p>
    <w:p w14:paraId="21F73A9B" w14:textId="4B4B82AE" w:rsidR="0087351C" w:rsidRPr="00605B56" w:rsidRDefault="00C73AB8" w:rsidP="0087351C">
      <w:pPr>
        <w:pStyle w:val="hsr3"/>
        <w:numPr>
          <w:ilvl w:val="2"/>
          <w:numId w:val="15"/>
        </w:numPr>
      </w:pPr>
      <w:r w:rsidRPr="00605B56">
        <w:t>E</w:t>
      </w:r>
      <w:r w:rsidR="00DE3C82" w:rsidRPr="00605B56">
        <w:t>stablishment of project rationale, goals, ob</w:t>
      </w:r>
      <w:r w:rsidRPr="00605B56">
        <w:t>jectives, and desired outcomes</w:t>
      </w:r>
    </w:p>
    <w:p w14:paraId="04039539" w14:textId="7EE3C3EE" w:rsidR="0087351C" w:rsidRPr="00605B56" w:rsidRDefault="0087351C" w:rsidP="0087351C">
      <w:pPr>
        <w:pStyle w:val="hsr3"/>
        <w:numPr>
          <w:ilvl w:val="2"/>
          <w:numId w:val="15"/>
        </w:numPr>
      </w:pPr>
      <w:r w:rsidRPr="00605B56">
        <w:t>E</w:t>
      </w:r>
      <w:r w:rsidR="00DE3C82" w:rsidRPr="00605B56">
        <w:t xml:space="preserve">stablishment of the range of alternatives; </w:t>
      </w:r>
      <w:r w:rsidR="00C73AB8" w:rsidRPr="00605B56">
        <w:t>screening and selection; Alternatives Analysis Report</w:t>
      </w:r>
    </w:p>
    <w:p w14:paraId="1F0A6FDE" w14:textId="35406932" w:rsidR="0087351C" w:rsidRPr="00605B56" w:rsidRDefault="0087351C" w:rsidP="0087351C">
      <w:pPr>
        <w:pStyle w:val="hsr3"/>
        <w:numPr>
          <w:ilvl w:val="2"/>
          <w:numId w:val="15"/>
        </w:numPr>
      </w:pPr>
      <w:r w:rsidRPr="00605B56">
        <w:t>S</w:t>
      </w:r>
      <w:r w:rsidR="00DE3C82" w:rsidRPr="00605B56">
        <w:t>ervice planning</w:t>
      </w:r>
      <w:r w:rsidR="00DC774A" w:rsidRPr="00605B56">
        <w:t xml:space="preserve"> criteria</w:t>
      </w:r>
      <w:r w:rsidRPr="00605B56">
        <w:t xml:space="preserve"> and analysis</w:t>
      </w:r>
      <w:r w:rsidR="00C73AB8" w:rsidRPr="00605B56">
        <w:t>; Service Development Plan</w:t>
      </w:r>
    </w:p>
    <w:p w14:paraId="61ECCE07" w14:textId="47E5D138" w:rsidR="00927ADE" w:rsidRPr="00605B56" w:rsidRDefault="00291223" w:rsidP="00291223">
      <w:pPr>
        <w:pStyle w:val="hsr3"/>
        <w:numPr>
          <w:ilvl w:val="2"/>
          <w:numId w:val="15"/>
        </w:numPr>
      </w:pPr>
      <w:r w:rsidRPr="00605B56">
        <w:t xml:space="preserve">Agreements among project stakeholders </w:t>
      </w:r>
    </w:p>
    <w:p w14:paraId="7CBCB53E" w14:textId="77777777" w:rsidR="0087351C" w:rsidRPr="00605B56" w:rsidRDefault="0087351C" w:rsidP="0087351C">
      <w:pPr>
        <w:pStyle w:val="hsr3"/>
        <w:numPr>
          <w:ilvl w:val="2"/>
          <w:numId w:val="15"/>
        </w:numPr>
      </w:pPr>
      <w:r w:rsidRPr="00605B56">
        <w:t>R</w:t>
      </w:r>
      <w:r w:rsidR="0028013D" w:rsidRPr="00605B56">
        <w:t>idership analysis</w:t>
      </w:r>
    </w:p>
    <w:p w14:paraId="04205E8A" w14:textId="77777777" w:rsidR="0087351C" w:rsidRPr="00605B56" w:rsidRDefault="0087351C" w:rsidP="0087351C">
      <w:pPr>
        <w:pStyle w:val="hsr3"/>
        <w:numPr>
          <w:ilvl w:val="2"/>
          <w:numId w:val="15"/>
        </w:numPr>
      </w:pPr>
      <w:r w:rsidRPr="00605B56">
        <w:t>Criteria for</w:t>
      </w:r>
      <w:r w:rsidR="0028013D" w:rsidRPr="00605B56">
        <w:t xml:space="preserve"> station location</w:t>
      </w:r>
      <w:r w:rsidRPr="00605B56">
        <w:t xml:space="preserve">, </w:t>
      </w:r>
      <w:r w:rsidR="00DC774A" w:rsidRPr="00605B56">
        <w:t xml:space="preserve">infrastructure </w:t>
      </w:r>
      <w:r w:rsidRPr="00605B56">
        <w:t>design</w:t>
      </w:r>
    </w:p>
    <w:p w14:paraId="555C01A1" w14:textId="3D7CFC31" w:rsidR="0087351C" w:rsidRPr="00605B56" w:rsidRDefault="0087351C" w:rsidP="0087351C">
      <w:pPr>
        <w:pStyle w:val="hsr3"/>
        <w:numPr>
          <w:ilvl w:val="2"/>
          <w:numId w:val="15"/>
        </w:numPr>
      </w:pPr>
      <w:r w:rsidRPr="00605B56">
        <w:t>E</w:t>
      </w:r>
      <w:r w:rsidR="00DE3C82" w:rsidRPr="00605B56">
        <w:t>nvironmental analysis</w:t>
      </w:r>
      <w:r w:rsidR="00C73AB8" w:rsidRPr="00605B56">
        <w:t>; Tier I NEPA, Service NEPA</w:t>
      </w:r>
    </w:p>
    <w:p w14:paraId="426015C2" w14:textId="77777777" w:rsidR="0087351C" w:rsidRPr="00605B56" w:rsidRDefault="0087351C" w:rsidP="0087351C">
      <w:pPr>
        <w:pStyle w:val="hsr3"/>
        <w:numPr>
          <w:ilvl w:val="2"/>
          <w:numId w:val="15"/>
        </w:numPr>
      </w:pPr>
      <w:r w:rsidRPr="00605B56">
        <w:t>P</w:t>
      </w:r>
      <w:r w:rsidR="00DE3C82" w:rsidRPr="00605B56">
        <w:t>ublic participation</w:t>
      </w:r>
    </w:p>
    <w:p w14:paraId="103BE749" w14:textId="7E5C235F" w:rsidR="00DE3C82" w:rsidRPr="00605B56" w:rsidRDefault="0087351C" w:rsidP="0087351C">
      <w:pPr>
        <w:pStyle w:val="hsr3"/>
        <w:numPr>
          <w:ilvl w:val="2"/>
          <w:numId w:val="15"/>
        </w:numPr>
      </w:pPr>
      <w:r w:rsidRPr="00605B56">
        <w:t>F</w:t>
      </w:r>
      <w:r w:rsidR="00DE3C82" w:rsidRPr="00605B56">
        <w:t xml:space="preserve">inancial planning  </w:t>
      </w:r>
    </w:p>
    <w:p w14:paraId="103BE74A" w14:textId="7291E002" w:rsidR="00DE3C82" w:rsidRPr="00605B56" w:rsidRDefault="00DE3C82" w:rsidP="00206D1A">
      <w:pPr>
        <w:pStyle w:val="hsr2"/>
      </w:pPr>
      <w:r w:rsidRPr="00605B56">
        <w:t xml:space="preserve">Roles and responsibilities and </w:t>
      </w:r>
      <w:r w:rsidR="00E6198D" w:rsidRPr="00605B56">
        <w:t xml:space="preserve">the interaction of </w:t>
      </w:r>
      <w:r w:rsidRPr="00605B56">
        <w:t>various project participants</w:t>
      </w:r>
    </w:p>
    <w:p w14:paraId="69F487D8" w14:textId="6587E292" w:rsidR="00291223" w:rsidRPr="00605B56" w:rsidRDefault="00291223" w:rsidP="00DE3C82">
      <w:pPr>
        <w:pStyle w:val="Heading2"/>
      </w:pPr>
      <w:bookmarkStart w:id="0" w:name="_GoBack"/>
      <w:bookmarkEnd w:id="0"/>
      <w:r w:rsidRPr="00605B56">
        <w:t>Agreements</w:t>
      </w:r>
      <w:r w:rsidR="00C86DD7" w:rsidRPr="00605B56">
        <w:t xml:space="preserve"> among Project Stakeholders</w:t>
      </w:r>
    </w:p>
    <w:p w14:paraId="3A18BE77" w14:textId="3ACB0376" w:rsidR="00813A8F" w:rsidRPr="00605B56" w:rsidRDefault="00F5368A" w:rsidP="009D39D8">
      <w:pPr>
        <w:pStyle w:val="hsr3"/>
        <w:numPr>
          <w:ilvl w:val="0"/>
          <w:numId w:val="0"/>
        </w:numPr>
        <w:tabs>
          <w:tab w:val="clear" w:pos="547"/>
        </w:tabs>
      </w:pPr>
      <w:r w:rsidRPr="00F5368A">
        <w:t xml:space="preserve">The MTAC should discuss with FRA the expectations for </w:t>
      </w:r>
      <w:r>
        <w:t xml:space="preserve">agreements within </w:t>
      </w:r>
      <w:r w:rsidRPr="00F5368A">
        <w:t xml:space="preserve">individual projects and </w:t>
      </w:r>
      <w:r>
        <w:t xml:space="preserve">then </w:t>
      </w:r>
      <w:r w:rsidRPr="00F5368A">
        <w:t xml:space="preserve">proceed </w:t>
      </w:r>
      <w:r>
        <w:t xml:space="preserve">with monitoring and technical assistance </w:t>
      </w:r>
      <w:r w:rsidRPr="00F5368A">
        <w:t xml:space="preserve">accordingly. </w:t>
      </w:r>
      <w:r w:rsidR="00F36791">
        <w:t xml:space="preserve"> </w:t>
      </w:r>
      <w:r w:rsidR="00813A8F" w:rsidRPr="00605B56">
        <w:t xml:space="preserve">Agreements are required to be complete </w:t>
      </w:r>
      <w:r w:rsidR="009D39D8" w:rsidRPr="00605B56">
        <w:t xml:space="preserve">and approved by FRA </w:t>
      </w:r>
      <w:r w:rsidR="00813A8F" w:rsidRPr="00605B56">
        <w:t>prior to start of f</w:t>
      </w:r>
      <w:r w:rsidR="009D39D8" w:rsidRPr="00605B56">
        <w:t>inal design and/or construction or the related expenditure of funds for final design and/or construction.</w:t>
      </w:r>
      <w:r w:rsidR="00813A8F" w:rsidRPr="00605B56">
        <w:t xml:space="preserve"> </w:t>
      </w:r>
      <w:r>
        <w:t xml:space="preserve"> </w:t>
      </w:r>
    </w:p>
    <w:p w14:paraId="1093EA67" w14:textId="77777777" w:rsidR="001C376D" w:rsidRPr="00605B56" w:rsidRDefault="001C376D" w:rsidP="001C376D">
      <w:pPr>
        <w:pStyle w:val="hsr3"/>
        <w:numPr>
          <w:ilvl w:val="0"/>
          <w:numId w:val="0"/>
        </w:numPr>
        <w:tabs>
          <w:tab w:val="clear" w:pos="547"/>
        </w:tabs>
        <w:ind w:left="720"/>
      </w:pPr>
    </w:p>
    <w:p w14:paraId="7A24E3CE" w14:textId="77777777" w:rsidR="00F5368A" w:rsidRDefault="00C8009C" w:rsidP="00F5368A">
      <w:pPr>
        <w:pStyle w:val="hsr3"/>
        <w:numPr>
          <w:ilvl w:val="0"/>
          <w:numId w:val="43"/>
        </w:numPr>
        <w:tabs>
          <w:tab w:val="clear" w:pos="547"/>
        </w:tabs>
        <w:ind w:left="360"/>
      </w:pPr>
      <w:r w:rsidRPr="00605B56">
        <w:t>Construction and Maintenance A</w:t>
      </w:r>
      <w:r w:rsidR="001C376D" w:rsidRPr="00605B56">
        <w:t>greement</w:t>
      </w:r>
      <w:r w:rsidR="00F5368A">
        <w:t>s</w:t>
      </w:r>
    </w:p>
    <w:p w14:paraId="4AF73BBE" w14:textId="77777777" w:rsidR="00F5368A" w:rsidRDefault="00F5368A" w:rsidP="00F5368A">
      <w:pPr>
        <w:pStyle w:val="hsr3"/>
        <w:numPr>
          <w:ilvl w:val="0"/>
          <w:numId w:val="0"/>
        </w:numPr>
        <w:tabs>
          <w:tab w:val="clear" w:pos="547"/>
        </w:tabs>
        <w:ind w:left="360"/>
      </w:pPr>
      <w:r>
        <w:t xml:space="preserve">These agreements set the terms for the construction of the project including all appropriate Federal flow down requirements, commitment to construct the project, and terms for long term maintenance.  The agreements are </w:t>
      </w:r>
      <w:r w:rsidR="001C376D" w:rsidRPr="00605B56">
        <w:t>b</w:t>
      </w:r>
      <w:r w:rsidR="00291223" w:rsidRPr="00605B56">
        <w:t xml:space="preserve">etween </w:t>
      </w:r>
      <w:r w:rsidR="001C376D" w:rsidRPr="00605B56">
        <w:t xml:space="preserve">the </w:t>
      </w:r>
      <w:r w:rsidR="0034782D" w:rsidRPr="00605B56">
        <w:t>Grantee/</w:t>
      </w:r>
      <w:r w:rsidR="00291223" w:rsidRPr="00605B56">
        <w:t>Rail Project Sponsor and Host Railroad</w:t>
      </w:r>
      <w:r w:rsidR="001C376D" w:rsidRPr="00605B56">
        <w:t xml:space="preserve"> or any railroad owning property on which the Project is to be undertaken</w:t>
      </w:r>
      <w:r w:rsidR="00C8009C" w:rsidRPr="00605B56">
        <w:t xml:space="preserve">.  </w:t>
      </w:r>
    </w:p>
    <w:p w14:paraId="0514356C" w14:textId="77777777" w:rsidR="00F5368A" w:rsidRDefault="00F5368A" w:rsidP="00F5368A">
      <w:pPr>
        <w:pStyle w:val="hsr3"/>
        <w:numPr>
          <w:ilvl w:val="0"/>
          <w:numId w:val="0"/>
        </w:numPr>
        <w:tabs>
          <w:tab w:val="clear" w:pos="547"/>
        </w:tabs>
        <w:ind w:left="720"/>
      </w:pPr>
    </w:p>
    <w:p w14:paraId="4DB4E7BE" w14:textId="0052B77C" w:rsidR="00CB40A5" w:rsidRDefault="00CB40A5" w:rsidP="00CB40A5">
      <w:pPr>
        <w:pStyle w:val="hsr3"/>
        <w:numPr>
          <w:ilvl w:val="0"/>
          <w:numId w:val="43"/>
        </w:numPr>
        <w:tabs>
          <w:tab w:val="clear" w:pos="547"/>
        </w:tabs>
        <w:ind w:left="360"/>
      </w:pPr>
      <w:r>
        <w:t>Any A</w:t>
      </w:r>
      <w:r w:rsidR="004C352A" w:rsidRPr="00605B56">
        <w:t>greement</w:t>
      </w:r>
      <w:r>
        <w:t xml:space="preserve">s necessary to Operate Service over the infrastructure improved with FRA grant funding (e.g. Operating Agreement between the Passenger Train Operator and the Host Railroad).  </w:t>
      </w:r>
    </w:p>
    <w:p w14:paraId="33DDDADB" w14:textId="77777777" w:rsidR="004C352A" w:rsidRPr="00605B56" w:rsidRDefault="004C352A" w:rsidP="004C352A">
      <w:pPr>
        <w:pStyle w:val="hsr3"/>
        <w:numPr>
          <w:ilvl w:val="0"/>
          <w:numId w:val="0"/>
        </w:numPr>
        <w:tabs>
          <w:tab w:val="clear" w:pos="547"/>
        </w:tabs>
        <w:ind w:left="720"/>
      </w:pPr>
    </w:p>
    <w:p w14:paraId="2B6BBBB4" w14:textId="5E8C4C9D" w:rsidR="00CB40A5" w:rsidRPr="00CB40A5" w:rsidRDefault="00CB40A5" w:rsidP="00F36791">
      <w:pPr>
        <w:pStyle w:val="hsr3"/>
        <w:numPr>
          <w:ilvl w:val="0"/>
          <w:numId w:val="43"/>
        </w:numPr>
        <w:tabs>
          <w:tab w:val="clear" w:pos="547"/>
        </w:tabs>
        <w:ind w:left="360"/>
      </w:pPr>
      <w:r>
        <w:t xml:space="preserve">Service Outcome Agreements (SOA), as required at the direction of FRA, are for a 20-year term for quantified performance benefits such as </w:t>
      </w:r>
      <w:r w:rsidR="004C352A" w:rsidRPr="00605B56">
        <w:t xml:space="preserve">additional daily round trips, improved on-time performance or fewer minutes of delay, </w:t>
      </w:r>
      <w:r w:rsidR="00846C37" w:rsidRPr="00605B56">
        <w:t xml:space="preserve">reduced scheduled trip times, </w:t>
      </w:r>
      <w:r w:rsidR="004C352A" w:rsidRPr="00605B56">
        <w:t xml:space="preserve">and increased capacity. </w:t>
      </w:r>
      <w:r>
        <w:t xml:space="preserve">The agreements </w:t>
      </w:r>
      <w:r w:rsidR="004C352A" w:rsidRPr="00605B56">
        <w:t>include provisions on enforcement and dispute resolution, the term of the agreement, modification procedures, and, at a high-level, maintenance and operations commitments related to the project.</w:t>
      </w:r>
      <w:r w:rsidR="00F36791">
        <w:t xml:space="preserve">  </w:t>
      </w:r>
      <w:r w:rsidRPr="00CB40A5">
        <w:t xml:space="preserve">Each Service Outcome Agreement (SOA) is uniquely tailored to the parties and project conditions, however all SOA contain enforceable written commitments made by project stakeholders to ensure the successful improvement of passenger rail service through an FRA-funded project.  Usual signatories include the Grantee, the service operator, and the host railroad or owner of the rail line. </w:t>
      </w:r>
    </w:p>
    <w:p w14:paraId="103BE74E" w14:textId="1C78DD12" w:rsidR="00DE3C82" w:rsidRPr="00605B56" w:rsidRDefault="00DE3C82" w:rsidP="00DE3C82">
      <w:pPr>
        <w:pStyle w:val="Heading2"/>
      </w:pPr>
      <w:r w:rsidRPr="00605B56">
        <w:lastRenderedPageBreak/>
        <w:t xml:space="preserve">Preliminary Engineering </w:t>
      </w:r>
      <w:r w:rsidR="00C73AB8" w:rsidRPr="00605B56">
        <w:t>/ NEPA</w:t>
      </w:r>
      <w:r w:rsidR="002D5187" w:rsidRPr="00605B56">
        <w:t xml:space="preserve"> (refer also to MP 39)</w:t>
      </w:r>
    </w:p>
    <w:p w14:paraId="2BB245BE" w14:textId="28423844" w:rsidR="00C73AB8" w:rsidRPr="00605B56" w:rsidRDefault="005C0919" w:rsidP="00B5008C">
      <w:pPr>
        <w:pStyle w:val="hsr1"/>
        <w:numPr>
          <w:ilvl w:val="0"/>
          <w:numId w:val="12"/>
        </w:numPr>
      </w:pPr>
      <w:r w:rsidRPr="00605B56">
        <w:tab/>
      </w:r>
      <w:r w:rsidR="00DE3C82" w:rsidRPr="00605B56">
        <w:t xml:space="preserve">The MTAC </w:t>
      </w:r>
      <w:r w:rsidRPr="00605B56">
        <w:t>should</w:t>
      </w:r>
      <w:r w:rsidR="00DE3C82" w:rsidRPr="00605B56">
        <w:t xml:space="preserve"> assess the </w:t>
      </w:r>
      <w:r w:rsidRPr="00605B56">
        <w:t>Grantee</w:t>
      </w:r>
      <w:r w:rsidR="00DE3C82" w:rsidRPr="00605B56">
        <w:t xml:space="preserve">’s project management approach </w:t>
      </w:r>
      <w:r w:rsidR="002D5187" w:rsidRPr="00605B56">
        <w:t>PE</w:t>
      </w:r>
      <w:r w:rsidR="00D97E0A" w:rsidRPr="00605B56">
        <w:t xml:space="preserve"> (</w:t>
      </w:r>
      <w:r w:rsidR="00D97E0A" w:rsidRPr="00605B56">
        <w:rPr>
          <w:b/>
        </w:rPr>
        <w:t xml:space="preserve">see MP </w:t>
      </w:r>
      <w:r w:rsidR="002D5187" w:rsidRPr="00605B56">
        <w:rPr>
          <w:b/>
        </w:rPr>
        <w:t>21</w:t>
      </w:r>
      <w:r w:rsidR="00D97E0A" w:rsidRPr="00605B56">
        <w:t xml:space="preserve">).  The PMP should demonstrate a well-conceived plan for the design process and project controls. </w:t>
      </w:r>
    </w:p>
    <w:p w14:paraId="103BE752" w14:textId="3767341F" w:rsidR="00DE3C82" w:rsidRPr="00605B56" w:rsidRDefault="005C0919" w:rsidP="00632CB1">
      <w:pPr>
        <w:pStyle w:val="hsr1"/>
      </w:pPr>
      <w:r w:rsidRPr="00605B56">
        <w:tab/>
      </w:r>
      <w:r w:rsidR="00DE3C82" w:rsidRPr="00605B56">
        <w:t xml:space="preserve">The MTAC </w:t>
      </w:r>
      <w:r w:rsidRPr="00605B56">
        <w:t>should</w:t>
      </w:r>
      <w:r w:rsidR="00DE3C82" w:rsidRPr="00605B56">
        <w:t xml:space="preserve"> review the adequacy and soundness of the </w:t>
      </w:r>
      <w:r w:rsidRPr="00605B56">
        <w:t>Grantee</w:t>
      </w:r>
      <w:r w:rsidR="00DE3C82" w:rsidRPr="00605B56">
        <w:t>’s PMP for:</w:t>
      </w:r>
    </w:p>
    <w:p w14:paraId="103BE753" w14:textId="538B247B" w:rsidR="00DE3C82" w:rsidRPr="00605B56" w:rsidRDefault="00DE3C82" w:rsidP="005C0919">
      <w:pPr>
        <w:pStyle w:val="hsr2"/>
      </w:pPr>
      <w:r w:rsidRPr="00605B56">
        <w:t>Demonstration of Technical Capability and Capacity to perform the work of this phase and adequately prepare for the next</w:t>
      </w:r>
      <w:r w:rsidR="0028013D" w:rsidRPr="00605B56">
        <w:t xml:space="preserve">, including leadership and sufficient professional expertise to complete </w:t>
      </w:r>
      <w:r w:rsidR="002D5187" w:rsidRPr="00605B56">
        <w:t xml:space="preserve">the work. </w:t>
      </w:r>
      <w:r w:rsidR="0028013D" w:rsidRPr="00605B56">
        <w:t xml:space="preserve">  </w:t>
      </w:r>
    </w:p>
    <w:p w14:paraId="103BE754" w14:textId="4D1B8CAA" w:rsidR="00DE3C82" w:rsidRPr="00605B56" w:rsidRDefault="00DE3C82" w:rsidP="005C0919">
      <w:pPr>
        <w:pStyle w:val="hsr2"/>
      </w:pPr>
      <w:r w:rsidRPr="00605B56">
        <w:t xml:space="preserve">National Environmental Policy Act Coordination:  Verify that the </w:t>
      </w:r>
      <w:r w:rsidR="005C0919" w:rsidRPr="00605B56">
        <w:t>Grantee</w:t>
      </w:r>
      <w:r w:rsidR="008C5D4D" w:rsidRPr="00605B56">
        <w:t>’s</w:t>
      </w:r>
      <w:r w:rsidRPr="00605B56">
        <w:t xml:space="preserve"> </w:t>
      </w:r>
      <w:r w:rsidR="0081404F" w:rsidRPr="00605B56">
        <w:t xml:space="preserve">environmental review is consistent with FRA policy, and that </w:t>
      </w:r>
      <w:r w:rsidRPr="00605B56">
        <w:t xml:space="preserve">plans for managing and implementing </w:t>
      </w:r>
      <w:r w:rsidR="008C5D4D" w:rsidRPr="00605B56">
        <w:t xml:space="preserve">environmental </w:t>
      </w:r>
      <w:r w:rsidRPr="00605B56">
        <w:t>mitigation</w:t>
      </w:r>
      <w:r w:rsidR="008C5D4D" w:rsidRPr="00605B56">
        <w:t>s</w:t>
      </w:r>
      <w:r w:rsidRPr="00605B56">
        <w:t xml:space="preserve"> </w:t>
      </w:r>
      <w:r w:rsidR="008C5D4D" w:rsidRPr="00605B56">
        <w:t>are i</w:t>
      </w:r>
      <w:r w:rsidRPr="00605B56">
        <w:t>ncorporat</w:t>
      </w:r>
      <w:r w:rsidR="008C5D4D" w:rsidRPr="00605B56">
        <w:t>ed into</w:t>
      </w:r>
      <w:r w:rsidRPr="00605B56">
        <w:t xml:space="preserve"> design documents, cost estimates, and schedules</w:t>
      </w:r>
      <w:r w:rsidR="0081404F" w:rsidRPr="00605B56">
        <w:t>.</w:t>
      </w:r>
      <w:r w:rsidRPr="00605B56">
        <w:t xml:space="preserve">   </w:t>
      </w:r>
    </w:p>
    <w:p w14:paraId="103BE755" w14:textId="77777777" w:rsidR="00DE3C82" w:rsidRPr="00605B56" w:rsidRDefault="00DE3C82" w:rsidP="005002EF">
      <w:pPr>
        <w:pStyle w:val="hsr2"/>
        <w:keepNext/>
      </w:pPr>
      <w:r w:rsidRPr="00605B56">
        <w:t xml:space="preserve">Design Control:  </w:t>
      </w:r>
    </w:p>
    <w:p w14:paraId="103BE756" w14:textId="2D921701" w:rsidR="00DE3C82" w:rsidRPr="00605B56" w:rsidRDefault="00DE3C82" w:rsidP="0081404F">
      <w:pPr>
        <w:pStyle w:val="hsr3"/>
        <w:numPr>
          <w:ilvl w:val="2"/>
          <w:numId w:val="16"/>
        </w:numPr>
      </w:pPr>
      <w:r w:rsidRPr="00605B56">
        <w:t xml:space="preserve">Confirm the </w:t>
      </w:r>
      <w:r w:rsidR="005C0919" w:rsidRPr="00605B56">
        <w:t>Grantee</w:t>
      </w:r>
      <w:r w:rsidR="002D5187" w:rsidRPr="00605B56">
        <w:t>’s plans and procedures are</w:t>
      </w:r>
      <w:r w:rsidRPr="00605B56">
        <w:t xml:space="preserve"> appropriate for design control</w:t>
      </w:r>
      <w:r w:rsidR="003E4070" w:rsidRPr="00605B56">
        <w:t xml:space="preserve">, </w:t>
      </w:r>
      <w:r w:rsidRPr="00605B56">
        <w:t xml:space="preserve">including </w:t>
      </w:r>
      <w:r w:rsidR="00DC774A" w:rsidRPr="00605B56">
        <w:t xml:space="preserve">establishment of design criteria; </w:t>
      </w:r>
      <w:r w:rsidRPr="00605B56">
        <w:t xml:space="preserve">reviews for </w:t>
      </w:r>
      <w:r w:rsidR="00DC774A" w:rsidRPr="00605B56">
        <w:t xml:space="preserve">consistency with the service plan </w:t>
      </w:r>
      <w:r w:rsidR="002D5187" w:rsidRPr="00605B56">
        <w:t>goals</w:t>
      </w:r>
      <w:r w:rsidR="00DC774A" w:rsidRPr="00605B56">
        <w:t xml:space="preserve">; </w:t>
      </w:r>
      <w:r w:rsidRPr="00605B56">
        <w:t>value engineering</w:t>
      </w:r>
      <w:r w:rsidR="00DC774A" w:rsidRPr="00605B56">
        <w:t xml:space="preserve">; </w:t>
      </w:r>
      <w:r w:rsidR="002D5187" w:rsidRPr="00605B56">
        <w:t>life-cycle cost</w:t>
      </w:r>
      <w:r w:rsidR="00DC774A" w:rsidRPr="00605B56">
        <w:t xml:space="preserve">; </w:t>
      </w:r>
      <w:r w:rsidRPr="00605B56">
        <w:t>and safety</w:t>
      </w:r>
      <w:r w:rsidR="00DC774A" w:rsidRPr="00605B56">
        <w:t>/security considerations.</w:t>
      </w:r>
    </w:p>
    <w:p w14:paraId="3CD2A92F" w14:textId="4BA915A8" w:rsidR="00161FF8" w:rsidRPr="00605B56" w:rsidRDefault="00DE3C82" w:rsidP="0081404F">
      <w:pPr>
        <w:pStyle w:val="hsr3"/>
        <w:numPr>
          <w:ilvl w:val="2"/>
          <w:numId w:val="16"/>
        </w:numPr>
      </w:pPr>
      <w:r w:rsidRPr="00605B56">
        <w:t xml:space="preserve">Confirm procedures for </w:t>
      </w:r>
      <w:r w:rsidR="00DC774A" w:rsidRPr="00605B56">
        <w:t>incorporating comments</w:t>
      </w:r>
      <w:r w:rsidR="002D5187" w:rsidRPr="00605B56">
        <w:t>/</w:t>
      </w:r>
      <w:r w:rsidR="00DC774A" w:rsidRPr="00605B56">
        <w:t xml:space="preserve">changes to </w:t>
      </w:r>
      <w:r w:rsidRPr="00605B56">
        <w:t>drawing</w:t>
      </w:r>
      <w:r w:rsidR="00DC774A" w:rsidRPr="00605B56">
        <w:t>s and spec</w:t>
      </w:r>
      <w:r w:rsidR="002D5187" w:rsidRPr="00605B56">
        <w:t>s</w:t>
      </w:r>
    </w:p>
    <w:p w14:paraId="103BE758" w14:textId="1C52BF2B" w:rsidR="00DE3C82" w:rsidRPr="00605B56" w:rsidRDefault="00161FF8" w:rsidP="0081404F">
      <w:pPr>
        <w:pStyle w:val="hsr3"/>
        <w:numPr>
          <w:ilvl w:val="2"/>
          <w:numId w:val="16"/>
        </w:numPr>
      </w:pPr>
      <w:r w:rsidRPr="00605B56">
        <w:t xml:space="preserve">For Design Bid Build or Design Build, confirm the PMP stipulates an appropriate level of completion of drawings and specifications </w:t>
      </w:r>
      <w:r w:rsidR="00DE3C82" w:rsidRPr="00605B56">
        <w:t xml:space="preserve"> </w:t>
      </w:r>
    </w:p>
    <w:p w14:paraId="103BE75A" w14:textId="77777777" w:rsidR="00DE3C82" w:rsidRPr="00605B56" w:rsidRDefault="00DE3C82" w:rsidP="002F75CA">
      <w:pPr>
        <w:pStyle w:val="hsr2"/>
      </w:pPr>
      <w:r w:rsidRPr="00605B56">
        <w:t xml:space="preserve">Project Control: </w:t>
      </w:r>
    </w:p>
    <w:p w14:paraId="103BE75B" w14:textId="5B862236" w:rsidR="00DE3C82" w:rsidRPr="00605B56" w:rsidRDefault="00DE3C82" w:rsidP="0081404F">
      <w:pPr>
        <w:pStyle w:val="hsr3"/>
        <w:numPr>
          <w:ilvl w:val="2"/>
          <w:numId w:val="16"/>
        </w:numPr>
      </w:pPr>
      <w:r w:rsidRPr="00605B56">
        <w:t xml:space="preserve">Review the </w:t>
      </w:r>
      <w:r w:rsidR="005C0919" w:rsidRPr="00605B56">
        <w:t>Grantee</w:t>
      </w:r>
      <w:r w:rsidRPr="00605B56">
        <w:t xml:space="preserve">’s control procedures for documents, cost, and schedule with the project team and third parties and assess how well they are followed </w:t>
      </w:r>
    </w:p>
    <w:p w14:paraId="103BE75C" w14:textId="43DB4BE8" w:rsidR="00DE3C82" w:rsidRPr="00605B56" w:rsidRDefault="00DE3C82" w:rsidP="0081404F">
      <w:pPr>
        <w:pStyle w:val="hsr3"/>
        <w:numPr>
          <w:ilvl w:val="2"/>
          <w:numId w:val="16"/>
        </w:numPr>
      </w:pPr>
      <w:r w:rsidRPr="00605B56">
        <w:t xml:space="preserve">Review the </w:t>
      </w:r>
      <w:r w:rsidR="005C0919" w:rsidRPr="00605B56">
        <w:t>Grantee</w:t>
      </w:r>
      <w:r w:rsidRPr="00605B56">
        <w:t>’s baselines for the capital cost estimate and schedule</w:t>
      </w:r>
    </w:p>
    <w:p w14:paraId="103BE75D" w14:textId="4EFBD866" w:rsidR="00DE3C82" w:rsidRPr="00605B56" w:rsidRDefault="00632CB1" w:rsidP="0081404F">
      <w:pPr>
        <w:pStyle w:val="hsr3"/>
        <w:numPr>
          <w:ilvl w:val="2"/>
          <w:numId w:val="16"/>
        </w:numPr>
      </w:pPr>
      <w:r w:rsidRPr="00605B56">
        <w:t>Verify</w:t>
      </w:r>
      <w:r w:rsidR="00DE3C82" w:rsidRPr="00605B56">
        <w:t xml:space="preserve"> that a risk assessment has been conducted</w:t>
      </w:r>
      <w:r w:rsidR="003E4070" w:rsidRPr="00605B56">
        <w:t xml:space="preserve"> before PE completion,</w:t>
      </w:r>
      <w:r w:rsidR="00DE3C82" w:rsidRPr="00605B56">
        <w:t xml:space="preserve"> including risk identification, assessment</w:t>
      </w:r>
      <w:r w:rsidR="003E4070" w:rsidRPr="00605B56">
        <w:t>,</w:t>
      </w:r>
      <w:r w:rsidR="00DE3C82" w:rsidRPr="00605B56">
        <w:t xml:space="preserve"> mitigation, and development of adequate contingency amounts for cost and schedule at project hold points </w:t>
      </w:r>
    </w:p>
    <w:p w14:paraId="103BE75E" w14:textId="77777777" w:rsidR="00DE3C82" w:rsidRPr="00605B56" w:rsidRDefault="00DE3C82" w:rsidP="002F75CA">
      <w:pPr>
        <w:pStyle w:val="hsr2"/>
      </w:pPr>
      <w:r w:rsidRPr="00605B56">
        <w:t>Project Delivery and Procurement:</w:t>
      </w:r>
    </w:p>
    <w:p w14:paraId="14D0C23F" w14:textId="001D4972" w:rsidR="004B4548" w:rsidRPr="00605B56" w:rsidRDefault="00DE3C82" w:rsidP="0081404F">
      <w:pPr>
        <w:pStyle w:val="hsr3"/>
        <w:numPr>
          <w:ilvl w:val="2"/>
          <w:numId w:val="16"/>
        </w:numPr>
      </w:pPr>
      <w:r w:rsidRPr="00605B56">
        <w:t xml:space="preserve">Review the </w:t>
      </w:r>
      <w:r w:rsidR="005C0919" w:rsidRPr="00605B56">
        <w:t>Grantee</w:t>
      </w:r>
      <w:r w:rsidRPr="00605B56">
        <w:t xml:space="preserve">’s plan for </w:t>
      </w:r>
      <w:r w:rsidR="00161FF8" w:rsidRPr="00605B56">
        <w:t xml:space="preserve">selecting the </w:t>
      </w:r>
      <w:r w:rsidRPr="00605B56">
        <w:t xml:space="preserve">project delivery and procurement </w:t>
      </w:r>
      <w:r w:rsidR="00161FF8" w:rsidRPr="00605B56">
        <w:t xml:space="preserve">methods; </w:t>
      </w:r>
      <w:r w:rsidRPr="00605B56">
        <w:t>verify the selected methods are reflected in proje</w:t>
      </w:r>
      <w:r w:rsidR="004B4548" w:rsidRPr="00605B56">
        <w:t xml:space="preserve">ct schedules and cost estimates; for Design Build, confirm that Grantee is implementing appropriate plans and procedures for project delivery and procurement. </w:t>
      </w:r>
    </w:p>
    <w:p w14:paraId="103BE760" w14:textId="52B8B284" w:rsidR="00DE3C82" w:rsidRPr="00605B56" w:rsidRDefault="00DE3C82" w:rsidP="0081404F">
      <w:pPr>
        <w:pStyle w:val="hsr3"/>
        <w:numPr>
          <w:ilvl w:val="2"/>
          <w:numId w:val="16"/>
        </w:numPr>
      </w:pPr>
      <w:r w:rsidRPr="00605B56">
        <w:t xml:space="preserve">Evaluate the </w:t>
      </w:r>
      <w:r w:rsidR="005C0919" w:rsidRPr="00605B56">
        <w:t>Grantee</w:t>
      </w:r>
      <w:r w:rsidRPr="00605B56">
        <w:t xml:space="preserve">’s </w:t>
      </w:r>
      <w:r w:rsidR="004B4548" w:rsidRPr="00605B56">
        <w:t xml:space="preserve">proposed </w:t>
      </w:r>
      <w:r w:rsidRPr="00605B56">
        <w:t>approach to construction management, bidding</w:t>
      </w:r>
      <w:r w:rsidR="00FB74D1" w:rsidRPr="00605B56">
        <w:t>/</w:t>
      </w:r>
      <w:r w:rsidRPr="00605B56">
        <w:t xml:space="preserve">awarding contracts, and procuring materials, equipment and vehicles </w:t>
      </w:r>
    </w:p>
    <w:p w14:paraId="103BE761" w14:textId="59ED8238" w:rsidR="00DE3C82" w:rsidRPr="00605B56" w:rsidRDefault="00DE3C82" w:rsidP="002F75CA">
      <w:pPr>
        <w:pStyle w:val="hsr2"/>
      </w:pPr>
      <w:r w:rsidRPr="00605B56">
        <w:t xml:space="preserve">Review PMP </w:t>
      </w:r>
      <w:r w:rsidR="00FB74D1" w:rsidRPr="00605B56">
        <w:t>s</w:t>
      </w:r>
      <w:r w:rsidRPr="00605B56">
        <w:t>ub-</w:t>
      </w:r>
      <w:r w:rsidR="00FB74D1" w:rsidRPr="00605B56">
        <w:t>p</w:t>
      </w:r>
      <w:r w:rsidRPr="00605B56">
        <w:t>lans for adequacy and soundness</w:t>
      </w:r>
      <w:r w:rsidR="00FB74D1" w:rsidRPr="00605B56">
        <w:t>. Sub-plans</w:t>
      </w:r>
      <w:r w:rsidRPr="00605B56">
        <w:t xml:space="preserve"> includ</w:t>
      </w:r>
      <w:r w:rsidR="00FB74D1" w:rsidRPr="00605B56">
        <w:t>e</w:t>
      </w:r>
      <w:r w:rsidRPr="00605B56">
        <w:t>:</w:t>
      </w:r>
    </w:p>
    <w:p w14:paraId="103BE762" w14:textId="67C2F8F8" w:rsidR="00DE3C82" w:rsidRPr="00605B56" w:rsidRDefault="005C0919" w:rsidP="0081404F">
      <w:pPr>
        <w:pStyle w:val="hsr3"/>
        <w:numPr>
          <w:ilvl w:val="2"/>
          <w:numId w:val="16"/>
        </w:numPr>
      </w:pPr>
      <w:r w:rsidRPr="00605B56">
        <w:t>Grantee</w:t>
      </w:r>
      <w:r w:rsidR="00DE3C82" w:rsidRPr="00605B56">
        <w:t xml:space="preserve"> Technical Capacity and Capability</w:t>
      </w:r>
      <w:r w:rsidR="007A3E8B" w:rsidRPr="00605B56">
        <w:t xml:space="preserve"> (MP 21)</w:t>
      </w:r>
    </w:p>
    <w:p w14:paraId="103BE763" w14:textId="3DD63A94" w:rsidR="00DE3C82" w:rsidRPr="00605B56" w:rsidRDefault="00DE3C82" w:rsidP="0081404F">
      <w:pPr>
        <w:pStyle w:val="hsr3"/>
        <w:numPr>
          <w:ilvl w:val="2"/>
          <w:numId w:val="16"/>
        </w:numPr>
      </w:pPr>
      <w:r w:rsidRPr="00605B56">
        <w:t>Quality Assurance/Quality Control</w:t>
      </w:r>
      <w:r w:rsidR="007A3E8B" w:rsidRPr="00605B56">
        <w:t xml:space="preserve"> (MP 24)</w:t>
      </w:r>
    </w:p>
    <w:p w14:paraId="103BE764" w14:textId="5E921C9A" w:rsidR="00DE3C82" w:rsidRPr="00605B56" w:rsidRDefault="00DE3C82" w:rsidP="0081404F">
      <w:pPr>
        <w:pStyle w:val="hsr3"/>
        <w:numPr>
          <w:ilvl w:val="2"/>
          <w:numId w:val="16"/>
        </w:numPr>
      </w:pPr>
      <w:r w:rsidRPr="00605B56">
        <w:t xml:space="preserve">Safety and Security Management </w:t>
      </w:r>
      <w:r w:rsidR="007A3E8B" w:rsidRPr="00605B56">
        <w:t xml:space="preserve"> (MP22)</w:t>
      </w:r>
    </w:p>
    <w:p w14:paraId="103BE765" w14:textId="26601BCF" w:rsidR="00DE3C82" w:rsidRPr="00605B56" w:rsidRDefault="00DE3C82" w:rsidP="009F6163">
      <w:pPr>
        <w:pStyle w:val="hsr3"/>
        <w:numPr>
          <w:ilvl w:val="2"/>
          <w:numId w:val="16"/>
        </w:numPr>
      </w:pPr>
      <w:r w:rsidRPr="00605B56">
        <w:t>Real Esta</w:t>
      </w:r>
      <w:r w:rsidR="009F6163" w:rsidRPr="00605B56">
        <w:t>te Acquisition and Management</w:t>
      </w:r>
      <w:r w:rsidR="007A3E8B" w:rsidRPr="00605B56">
        <w:t xml:space="preserve"> (MP23)</w:t>
      </w:r>
      <w:r w:rsidR="009F6163" w:rsidRPr="00605B56">
        <w:t>, esp. as related to ROW and utilities; consistency with The Uniform Relocation Assistance and Real Property Acquisition Policies Act of 1970 (Uniform Act)</w:t>
      </w:r>
    </w:p>
    <w:p w14:paraId="103BE766" w14:textId="5017A233" w:rsidR="00DE3C82" w:rsidRPr="00605B56" w:rsidRDefault="00DE3C82" w:rsidP="0081404F">
      <w:pPr>
        <w:pStyle w:val="hsr3"/>
        <w:numPr>
          <w:ilvl w:val="2"/>
          <w:numId w:val="16"/>
        </w:numPr>
      </w:pPr>
      <w:r w:rsidRPr="00605B56">
        <w:t>Vehicle Acquisition and Management</w:t>
      </w:r>
      <w:r w:rsidR="007A3E8B" w:rsidRPr="00605B56">
        <w:t xml:space="preserve"> (MP 38)</w:t>
      </w:r>
    </w:p>
    <w:p w14:paraId="103BE768" w14:textId="2FEA3A00" w:rsidR="00DE3C82" w:rsidRPr="00605B56" w:rsidRDefault="00DE3C82" w:rsidP="0081404F">
      <w:pPr>
        <w:pStyle w:val="hsr3"/>
        <w:numPr>
          <w:ilvl w:val="2"/>
          <w:numId w:val="16"/>
        </w:numPr>
      </w:pPr>
      <w:r w:rsidRPr="00605B56">
        <w:t>Finance Plan</w:t>
      </w:r>
      <w:r w:rsidR="00FB74D1" w:rsidRPr="00605B56">
        <w:t xml:space="preserve"> (</w:t>
      </w:r>
      <w:r w:rsidR="007A3E8B" w:rsidRPr="00605B56">
        <w:t xml:space="preserve">MP 49) </w:t>
      </w:r>
      <w:r w:rsidR="00FB74D1" w:rsidRPr="00605B56">
        <w:t>r</w:t>
      </w:r>
      <w:r w:rsidRPr="00605B56">
        <w:t>eview for funding sources</w:t>
      </w:r>
      <w:r w:rsidR="00FB74D1" w:rsidRPr="00605B56">
        <w:t xml:space="preserve"> and</w:t>
      </w:r>
      <w:r w:rsidRPr="00605B56">
        <w:t xml:space="preserve"> cash flow relative to schedule </w:t>
      </w:r>
    </w:p>
    <w:p w14:paraId="103BE76B" w14:textId="77777777" w:rsidR="00DE3C82" w:rsidRPr="00605B56" w:rsidRDefault="00DE3C82" w:rsidP="00DE3C82">
      <w:pPr>
        <w:pStyle w:val="Heading2"/>
      </w:pPr>
      <w:r w:rsidRPr="00605B56">
        <w:lastRenderedPageBreak/>
        <w:t>Final Design Review</w:t>
      </w:r>
    </w:p>
    <w:p w14:paraId="103BE76D" w14:textId="0FB42DFD" w:rsidR="00817A3E" w:rsidRPr="00605B56" w:rsidRDefault="009A3C02" w:rsidP="00B5008C">
      <w:pPr>
        <w:pStyle w:val="hsr1"/>
        <w:numPr>
          <w:ilvl w:val="0"/>
          <w:numId w:val="13"/>
        </w:numPr>
      </w:pPr>
      <w:r w:rsidRPr="00605B56">
        <w:tab/>
      </w:r>
      <w:r w:rsidR="00DE3C82" w:rsidRPr="00605B56">
        <w:t xml:space="preserve">The MTAC </w:t>
      </w:r>
      <w:r w:rsidR="005C0919" w:rsidRPr="00605B56">
        <w:t>should</w:t>
      </w:r>
      <w:r w:rsidR="00DE3C82" w:rsidRPr="00605B56">
        <w:t xml:space="preserve"> assess whether the </w:t>
      </w:r>
      <w:r w:rsidR="005C0919" w:rsidRPr="00605B56">
        <w:t>Grantee</w:t>
      </w:r>
      <w:r w:rsidR="00DE3C82" w:rsidRPr="00605B56">
        <w:t xml:space="preserve">’s project management approach is suitable to </w:t>
      </w:r>
      <w:r w:rsidRPr="00605B56">
        <w:t xml:space="preserve">carry </w:t>
      </w:r>
      <w:r w:rsidR="00DE3C82" w:rsidRPr="00605B56">
        <w:t>the project through bid, award, construction</w:t>
      </w:r>
      <w:r w:rsidRPr="00605B56">
        <w:t>,</w:t>
      </w:r>
      <w:r w:rsidR="00DE3C82" w:rsidRPr="00605B56">
        <w:t xml:space="preserve"> and into revenue operations.   </w:t>
      </w:r>
      <w:r w:rsidR="00161FF8" w:rsidRPr="00605B56">
        <w:t>For Design Bid Build, the Grantee’s design t</w:t>
      </w:r>
      <w:r w:rsidR="009F6163" w:rsidRPr="00605B56">
        <w:t>eam will conduct final design (</w:t>
      </w:r>
      <w:r w:rsidR="009F6163" w:rsidRPr="00605B56">
        <w:rPr>
          <w:b/>
        </w:rPr>
        <w:t>see MP 39</w:t>
      </w:r>
      <w:r w:rsidR="009F6163" w:rsidRPr="00605B56">
        <w:t xml:space="preserve">).  </w:t>
      </w:r>
    </w:p>
    <w:p w14:paraId="103BE76F" w14:textId="3C9F14F1" w:rsidR="00DE3C82" w:rsidRPr="00605B56" w:rsidRDefault="009A3C02" w:rsidP="00817A3E">
      <w:pPr>
        <w:pStyle w:val="hsr1"/>
      </w:pPr>
      <w:r w:rsidRPr="00605B56">
        <w:tab/>
      </w:r>
      <w:r w:rsidR="00DE3C82" w:rsidRPr="00605B56">
        <w:t xml:space="preserve">The MTAC </w:t>
      </w:r>
      <w:r w:rsidR="005C0919" w:rsidRPr="00605B56">
        <w:t>should</w:t>
      </w:r>
      <w:r w:rsidR="00DE3C82" w:rsidRPr="00605B56">
        <w:t xml:space="preserve"> review and summarize its findings and opinions, and provide recommendations on the adequacy and soundness of the </w:t>
      </w:r>
      <w:r w:rsidR="005C0919" w:rsidRPr="00605B56">
        <w:t>Grantee</w:t>
      </w:r>
      <w:r w:rsidR="00DE3C82" w:rsidRPr="00605B56">
        <w:t>’s PMP for:</w:t>
      </w:r>
    </w:p>
    <w:p w14:paraId="796865C6" w14:textId="7D0F23AD" w:rsidR="00E24C02" w:rsidRPr="00605B56" w:rsidRDefault="00DE3C82" w:rsidP="00E24C02">
      <w:pPr>
        <w:pStyle w:val="hsr2"/>
      </w:pPr>
      <w:r w:rsidRPr="00605B56">
        <w:t>Demonstration of Technical Capability and Capacity to perform the work of this phase and adequately prepare for the next</w:t>
      </w:r>
      <w:r w:rsidR="00E24C02" w:rsidRPr="00605B56">
        <w:t>, including adequate leadership and sufficient professional expertise to complete schematic design/design development for track, structures, signals, and stations.</w:t>
      </w:r>
    </w:p>
    <w:p w14:paraId="1F0BAAA7" w14:textId="521BBA1B" w:rsidR="004B4548" w:rsidRPr="00605B56" w:rsidRDefault="004B4548" w:rsidP="004B4548">
      <w:pPr>
        <w:pStyle w:val="hsr2"/>
      </w:pPr>
      <w:r w:rsidRPr="00605B56">
        <w:t>National Environmental Policy Act (NEPA) Coordination - Verify Grantee incorporate</w:t>
      </w:r>
      <w:r w:rsidR="002D5187" w:rsidRPr="00605B56">
        <w:t xml:space="preserve">s </w:t>
      </w:r>
      <w:r w:rsidRPr="00605B56">
        <w:t>mitigation work into the design documents, cost estimates, and schedules</w:t>
      </w:r>
    </w:p>
    <w:p w14:paraId="24C85BC3" w14:textId="0DA19171" w:rsidR="004B4548" w:rsidRPr="00605B56" w:rsidRDefault="00DE3C82" w:rsidP="004B4548">
      <w:pPr>
        <w:pStyle w:val="hsr2"/>
      </w:pPr>
      <w:r w:rsidRPr="00605B56">
        <w:t>Design Control</w:t>
      </w:r>
      <w:r w:rsidR="004B4548" w:rsidRPr="00605B56">
        <w:t xml:space="preserve"> - Confirm that the Grantee has implemented appropriate plans and procedures for design control. In particular, confirm that: </w:t>
      </w:r>
    </w:p>
    <w:p w14:paraId="103BE777" w14:textId="6BB64DC2" w:rsidR="00DE3C82" w:rsidRPr="00605B56" w:rsidRDefault="00DE3C82" w:rsidP="0081404F">
      <w:pPr>
        <w:pStyle w:val="hsr3"/>
        <w:numPr>
          <w:ilvl w:val="2"/>
          <w:numId w:val="21"/>
        </w:numPr>
      </w:pPr>
      <w:r w:rsidRPr="00605B56">
        <w:t>Plans and procedures are consistent with design criteria</w:t>
      </w:r>
    </w:p>
    <w:p w14:paraId="103BE778" w14:textId="498C9E42" w:rsidR="00DE3C82" w:rsidRPr="00605B56" w:rsidRDefault="00161FF8" w:rsidP="0081404F">
      <w:pPr>
        <w:pStyle w:val="hsr3"/>
        <w:numPr>
          <w:ilvl w:val="2"/>
          <w:numId w:val="21"/>
        </w:numPr>
      </w:pPr>
      <w:r w:rsidRPr="00605B56">
        <w:t>C</w:t>
      </w:r>
      <w:r w:rsidR="00DE3C82" w:rsidRPr="00605B56">
        <w:t xml:space="preserve">oordination and change control procedures </w:t>
      </w:r>
      <w:r w:rsidRPr="00605B56">
        <w:t xml:space="preserve">are in place </w:t>
      </w:r>
      <w:r w:rsidR="00DE3C82" w:rsidRPr="00605B56">
        <w:t xml:space="preserve">across design disciplines </w:t>
      </w:r>
    </w:p>
    <w:p w14:paraId="103BE779" w14:textId="5114869E" w:rsidR="00DE3C82" w:rsidRPr="00605B56" w:rsidRDefault="00DE3C82" w:rsidP="0081404F">
      <w:pPr>
        <w:pStyle w:val="hsr3"/>
        <w:numPr>
          <w:ilvl w:val="2"/>
          <w:numId w:val="21"/>
        </w:numPr>
      </w:pPr>
      <w:r w:rsidRPr="00605B56">
        <w:t>Soil testing and site surveys are complete and adequate</w:t>
      </w:r>
    </w:p>
    <w:p w14:paraId="103BE77A" w14:textId="4EC11D63" w:rsidR="00DE3C82" w:rsidRPr="00605B56" w:rsidRDefault="00DB0D5E" w:rsidP="0081404F">
      <w:pPr>
        <w:pStyle w:val="hsr3"/>
        <w:numPr>
          <w:ilvl w:val="2"/>
          <w:numId w:val="21"/>
        </w:numPr>
      </w:pPr>
      <w:r w:rsidRPr="00605B56">
        <w:t>C</w:t>
      </w:r>
      <w:r w:rsidR="00DE3C82" w:rsidRPr="00605B56">
        <w:t>oordination with third parties</w:t>
      </w:r>
      <w:r w:rsidRPr="00605B56">
        <w:t xml:space="preserve"> is adequate</w:t>
      </w:r>
    </w:p>
    <w:p w14:paraId="103BE77B" w14:textId="1C457C9D" w:rsidR="00DE3C82" w:rsidRPr="00605B56" w:rsidRDefault="00DB0D5E" w:rsidP="0081404F">
      <w:pPr>
        <w:pStyle w:val="hsr3"/>
        <w:numPr>
          <w:ilvl w:val="2"/>
          <w:numId w:val="21"/>
        </w:numPr>
      </w:pPr>
      <w:r w:rsidRPr="00605B56">
        <w:t>For Design Bid Build, p</w:t>
      </w:r>
      <w:r w:rsidR="00DE3C82" w:rsidRPr="00605B56">
        <w:t>roject documents for bidding are complete</w:t>
      </w:r>
    </w:p>
    <w:p w14:paraId="2FDDDDBD" w14:textId="3868087B" w:rsidR="004B4548" w:rsidRPr="00605B56" w:rsidRDefault="00DE3C82" w:rsidP="004B4548">
      <w:pPr>
        <w:pStyle w:val="hsr2"/>
      </w:pPr>
      <w:r w:rsidRPr="00605B56">
        <w:t>Project Controls</w:t>
      </w:r>
      <w:r w:rsidR="004B4548" w:rsidRPr="00605B56">
        <w:t xml:space="preserve"> - Confirm that Grantee is implementing project controls in all aspects, including procedures for:</w:t>
      </w:r>
    </w:p>
    <w:p w14:paraId="103BE77E" w14:textId="77777777" w:rsidR="00DE3C82" w:rsidRPr="00605B56" w:rsidRDefault="00DE3C82" w:rsidP="0081404F">
      <w:pPr>
        <w:pStyle w:val="hsr3"/>
        <w:numPr>
          <w:ilvl w:val="2"/>
          <w:numId w:val="22"/>
        </w:numPr>
      </w:pPr>
      <w:r w:rsidRPr="00605B56">
        <w:t>Cost and schedule control</w:t>
      </w:r>
    </w:p>
    <w:p w14:paraId="103BE77F" w14:textId="3979F1CD" w:rsidR="00DE3C82" w:rsidRPr="00605B56" w:rsidRDefault="00DE3C82" w:rsidP="0081404F">
      <w:pPr>
        <w:pStyle w:val="hsr3"/>
        <w:numPr>
          <w:ilvl w:val="2"/>
          <w:numId w:val="22"/>
        </w:numPr>
      </w:pPr>
      <w:r w:rsidRPr="00605B56">
        <w:t xml:space="preserve">Risk management </w:t>
      </w:r>
      <w:r w:rsidR="00817A3E" w:rsidRPr="00605B56">
        <w:t>(s</w:t>
      </w:r>
      <w:r w:rsidRPr="00605B56">
        <w:t>ee that a risk assessment “refresh” is conducted</w:t>
      </w:r>
      <w:r w:rsidR="00817A3E" w:rsidRPr="00605B56">
        <w:t xml:space="preserve"> during Final Design</w:t>
      </w:r>
      <w:r w:rsidRPr="00605B56">
        <w:t>, including risk identification, assessment and mitigation, and development of adequate contingency amounts for cost and schedule at project hold points</w:t>
      </w:r>
      <w:r w:rsidR="00817A3E" w:rsidRPr="00605B56">
        <w:t>)</w:t>
      </w:r>
    </w:p>
    <w:p w14:paraId="103BE780" w14:textId="77777777" w:rsidR="00DE3C82" w:rsidRPr="00605B56" w:rsidRDefault="00DE3C82" w:rsidP="0081404F">
      <w:pPr>
        <w:pStyle w:val="hsr3"/>
        <w:numPr>
          <w:ilvl w:val="2"/>
          <w:numId w:val="22"/>
        </w:numPr>
      </w:pPr>
      <w:r w:rsidRPr="00605B56">
        <w:t xml:space="preserve">Dispute resolution during construction  </w:t>
      </w:r>
    </w:p>
    <w:p w14:paraId="103BE781" w14:textId="0AA4B504" w:rsidR="00DE3C82" w:rsidRPr="00605B56" w:rsidRDefault="00DE3C82" w:rsidP="009A3C02">
      <w:pPr>
        <w:pStyle w:val="hsr2"/>
      </w:pPr>
      <w:r w:rsidRPr="00605B56">
        <w:t xml:space="preserve">Project Delivery and Procurement: </w:t>
      </w:r>
      <w:r w:rsidR="007A3E8B" w:rsidRPr="00605B56">
        <w:t xml:space="preserve"> (refer to MP 32D)</w:t>
      </w:r>
    </w:p>
    <w:p w14:paraId="103BE782" w14:textId="68112EBD" w:rsidR="00DE3C82" w:rsidRPr="00605B56" w:rsidRDefault="00DE3C82" w:rsidP="0081404F">
      <w:pPr>
        <w:pStyle w:val="hsr3"/>
        <w:numPr>
          <w:ilvl w:val="2"/>
          <w:numId w:val="23"/>
        </w:numPr>
      </w:pPr>
      <w:r w:rsidRPr="00605B56">
        <w:t xml:space="preserve">Confirm </w:t>
      </w:r>
      <w:r w:rsidR="005C0919" w:rsidRPr="00605B56">
        <w:t>Grantee</w:t>
      </w:r>
      <w:r w:rsidR="002D5187" w:rsidRPr="00605B56">
        <w:t xml:space="preserve">’s </w:t>
      </w:r>
      <w:r w:rsidRPr="00605B56">
        <w:t xml:space="preserve">plans and procedures for project delivery and procurement. </w:t>
      </w:r>
    </w:p>
    <w:p w14:paraId="6AFBDEA7" w14:textId="03A2E2FC" w:rsidR="003C153D" w:rsidRPr="00605B56" w:rsidRDefault="00817A3E" w:rsidP="0081404F">
      <w:pPr>
        <w:pStyle w:val="hsr3"/>
        <w:numPr>
          <w:ilvl w:val="2"/>
          <w:numId w:val="23"/>
        </w:numPr>
      </w:pPr>
      <w:r w:rsidRPr="00605B56">
        <w:t>Review</w:t>
      </w:r>
      <w:r w:rsidR="00DE3C82" w:rsidRPr="00605B56">
        <w:t xml:space="preserve"> </w:t>
      </w:r>
      <w:r w:rsidR="005C0919" w:rsidRPr="00605B56">
        <w:t>Grantee</w:t>
      </w:r>
      <w:r w:rsidR="00DE3C82" w:rsidRPr="00605B56">
        <w:t>’s sch</w:t>
      </w:r>
      <w:r w:rsidR="002D5187" w:rsidRPr="00605B56">
        <w:t>edule for bidding construction/</w:t>
      </w:r>
      <w:r w:rsidR="00DE3C82" w:rsidRPr="00605B56">
        <w:t>procuring vehicles.</w:t>
      </w:r>
    </w:p>
    <w:p w14:paraId="103BE783" w14:textId="7DEDA036" w:rsidR="00DE3C82" w:rsidRPr="00605B56" w:rsidRDefault="003C153D" w:rsidP="0081404F">
      <w:pPr>
        <w:pStyle w:val="hsr3"/>
        <w:numPr>
          <w:ilvl w:val="2"/>
          <w:numId w:val="23"/>
        </w:numPr>
      </w:pPr>
      <w:r w:rsidRPr="00605B56">
        <w:t>Review division of labor between railroad forces (Force Account) and contractors</w:t>
      </w:r>
      <w:r w:rsidR="00DE3C82" w:rsidRPr="00605B56">
        <w:t xml:space="preserve"> </w:t>
      </w:r>
    </w:p>
    <w:p w14:paraId="103BE784" w14:textId="4AB333AC" w:rsidR="00DE3C82" w:rsidRPr="00605B56" w:rsidRDefault="00DE3C82" w:rsidP="009A3C02">
      <w:pPr>
        <w:pStyle w:val="hsr2"/>
      </w:pPr>
      <w:r w:rsidRPr="00605B56">
        <w:t xml:space="preserve">Labor </w:t>
      </w:r>
      <w:r w:rsidR="003C153D" w:rsidRPr="00605B56">
        <w:t xml:space="preserve">Agreements, Labor </w:t>
      </w:r>
      <w:r w:rsidRPr="00605B56">
        <w:t xml:space="preserve">Policies  </w:t>
      </w:r>
    </w:p>
    <w:p w14:paraId="651F4038" w14:textId="29AA7E90" w:rsidR="004B4548" w:rsidRPr="00605B56" w:rsidRDefault="004B4548" w:rsidP="004B4548">
      <w:pPr>
        <w:pStyle w:val="hsr2"/>
      </w:pPr>
      <w:r w:rsidRPr="00605B56">
        <w:t>Review the following PMP sub-plans</w:t>
      </w:r>
      <w:r w:rsidR="007A3E8B" w:rsidRPr="00605B56">
        <w:t xml:space="preserve"> as noted for PE above</w:t>
      </w:r>
    </w:p>
    <w:p w14:paraId="497331BF" w14:textId="55EA0221" w:rsidR="004B4548" w:rsidRPr="00605B56" w:rsidRDefault="004B4548" w:rsidP="004B4548">
      <w:pPr>
        <w:pStyle w:val="hsr2"/>
      </w:pPr>
      <w:r w:rsidRPr="00605B56">
        <w:t xml:space="preserve">Assess plans and procedures </w:t>
      </w:r>
      <w:r w:rsidR="00A83B15" w:rsidRPr="00605B56">
        <w:t>for readiness to start construction of f</w:t>
      </w:r>
      <w:r w:rsidRPr="00605B56">
        <w:t>ixe</w:t>
      </w:r>
      <w:r w:rsidR="00A83B15" w:rsidRPr="00605B56">
        <w:t>d i</w:t>
      </w:r>
      <w:r w:rsidRPr="00605B56">
        <w:t>nfrastructure</w:t>
      </w:r>
      <w:r w:rsidR="00A83B15" w:rsidRPr="00605B56">
        <w:t>:</w:t>
      </w:r>
      <w:r w:rsidRPr="00605B56">
        <w:t xml:space="preserve"> </w:t>
      </w:r>
    </w:p>
    <w:p w14:paraId="103BE787" w14:textId="5ACB6883" w:rsidR="00DE3C82" w:rsidRPr="00605B56" w:rsidRDefault="00DE3C82" w:rsidP="0081404F">
      <w:pPr>
        <w:pStyle w:val="hsr3"/>
        <w:numPr>
          <w:ilvl w:val="2"/>
          <w:numId w:val="25"/>
        </w:numPr>
      </w:pPr>
      <w:r w:rsidRPr="00605B56">
        <w:t>Construction administration</w:t>
      </w:r>
    </w:p>
    <w:p w14:paraId="103BE788" w14:textId="77777777" w:rsidR="00DE3C82" w:rsidRPr="00605B56" w:rsidRDefault="00DE3C82" w:rsidP="0081404F">
      <w:pPr>
        <w:pStyle w:val="hsr3"/>
        <w:numPr>
          <w:ilvl w:val="2"/>
          <w:numId w:val="25"/>
        </w:numPr>
      </w:pPr>
      <w:r w:rsidRPr="00605B56">
        <w:t>Construction management</w:t>
      </w:r>
    </w:p>
    <w:p w14:paraId="103BE789" w14:textId="77777777" w:rsidR="00DE3C82" w:rsidRPr="00605B56" w:rsidRDefault="00DE3C82" w:rsidP="0081404F">
      <w:pPr>
        <w:pStyle w:val="hsr3"/>
        <w:numPr>
          <w:ilvl w:val="2"/>
          <w:numId w:val="25"/>
        </w:numPr>
      </w:pPr>
      <w:r w:rsidRPr="00605B56">
        <w:t>Construction inspection</w:t>
      </w:r>
    </w:p>
    <w:p w14:paraId="103BE78A" w14:textId="77777777" w:rsidR="00DE3C82" w:rsidRPr="00605B56" w:rsidRDefault="00DE3C82" w:rsidP="0081404F">
      <w:pPr>
        <w:pStyle w:val="hsr3"/>
        <w:numPr>
          <w:ilvl w:val="2"/>
          <w:numId w:val="25"/>
        </w:numPr>
      </w:pPr>
      <w:r w:rsidRPr="00605B56">
        <w:t>Coordinating construction work by third parties</w:t>
      </w:r>
    </w:p>
    <w:p w14:paraId="06C13481" w14:textId="77777777" w:rsidR="003C153D" w:rsidRPr="00605B56" w:rsidRDefault="003C153D" w:rsidP="003C153D">
      <w:pPr>
        <w:pStyle w:val="ListParagraph"/>
        <w:numPr>
          <w:ilvl w:val="2"/>
          <w:numId w:val="25"/>
        </w:numPr>
      </w:pPr>
      <w:r w:rsidRPr="00605B56">
        <w:t>Construction phasing plans – sequencing the work</w:t>
      </w:r>
    </w:p>
    <w:p w14:paraId="103BE78B" w14:textId="28119539" w:rsidR="00DE3C82" w:rsidRPr="00605B56" w:rsidRDefault="003C153D" w:rsidP="0081404F">
      <w:pPr>
        <w:pStyle w:val="hsr3"/>
        <w:numPr>
          <w:ilvl w:val="2"/>
          <w:numId w:val="25"/>
        </w:numPr>
      </w:pPr>
      <w:r w:rsidRPr="00605B56">
        <w:t>Staging plans - s</w:t>
      </w:r>
      <w:r w:rsidR="00DE3C82" w:rsidRPr="00605B56">
        <w:t>ite logistics</w:t>
      </w:r>
    </w:p>
    <w:p w14:paraId="103BE78C" w14:textId="77777777" w:rsidR="00DE3C82" w:rsidRPr="00605B56" w:rsidRDefault="00DE3C82" w:rsidP="0081404F">
      <w:pPr>
        <w:pStyle w:val="hsr3"/>
        <w:numPr>
          <w:ilvl w:val="2"/>
          <w:numId w:val="25"/>
        </w:numPr>
      </w:pPr>
      <w:r w:rsidRPr="00605B56">
        <w:t>Construction change order and shop drawing document flow</w:t>
      </w:r>
    </w:p>
    <w:p w14:paraId="103BE78D" w14:textId="75CD97B1" w:rsidR="00DE3C82" w:rsidRPr="00605B56" w:rsidRDefault="00817A3E" w:rsidP="009A3C02">
      <w:pPr>
        <w:pStyle w:val="hsr2"/>
      </w:pPr>
      <w:r w:rsidRPr="00605B56">
        <w:t xml:space="preserve">Assess the Grantee’s </w:t>
      </w:r>
      <w:r w:rsidR="004B4548" w:rsidRPr="00605B56">
        <w:t xml:space="preserve">plan </w:t>
      </w:r>
      <w:r w:rsidR="00A83B15" w:rsidRPr="00605B56">
        <w:t xml:space="preserve">for readiness for </w:t>
      </w:r>
      <w:r w:rsidR="00DE3C82" w:rsidRPr="00605B56">
        <w:t>Startup and Operation</w:t>
      </w:r>
      <w:r w:rsidR="004B4548" w:rsidRPr="00605B56">
        <w:t>s</w:t>
      </w:r>
      <w:r w:rsidRPr="00605B56">
        <w:t>,</w:t>
      </w:r>
      <w:r w:rsidR="00DE3C82" w:rsidRPr="00605B56">
        <w:t xml:space="preserve"> including: </w:t>
      </w:r>
    </w:p>
    <w:p w14:paraId="103BE78E" w14:textId="77777777" w:rsidR="00DE3C82" w:rsidRPr="00605B56" w:rsidRDefault="00DE3C82" w:rsidP="0081404F">
      <w:pPr>
        <w:pStyle w:val="hsr3"/>
        <w:numPr>
          <w:ilvl w:val="2"/>
          <w:numId w:val="26"/>
        </w:numPr>
      </w:pPr>
      <w:r w:rsidRPr="00605B56">
        <w:t>Testing of systems and equipment</w:t>
      </w:r>
    </w:p>
    <w:p w14:paraId="103BE78F" w14:textId="77777777" w:rsidR="00DE3C82" w:rsidRPr="00605B56" w:rsidRDefault="00DE3C82" w:rsidP="0081404F">
      <w:pPr>
        <w:pStyle w:val="hsr3"/>
        <w:numPr>
          <w:ilvl w:val="2"/>
          <w:numId w:val="26"/>
        </w:numPr>
      </w:pPr>
      <w:r w:rsidRPr="00605B56">
        <w:t>Coordination with other transportation entities</w:t>
      </w:r>
    </w:p>
    <w:p w14:paraId="103BE790" w14:textId="6B67B985" w:rsidR="00DE3C82" w:rsidRPr="00605B56" w:rsidRDefault="00DE3C82" w:rsidP="0081404F">
      <w:pPr>
        <w:pStyle w:val="hsr3"/>
        <w:numPr>
          <w:ilvl w:val="2"/>
          <w:numId w:val="26"/>
        </w:numPr>
      </w:pPr>
      <w:r w:rsidRPr="00605B56">
        <w:lastRenderedPageBreak/>
        <w:t xml:space="preserve">Training of </w:t>
      </w:r>
      <w:r w:rsidR="00817A3E" w:rsidRPr="00605B56">
        <w:t>t</w:t>
      </w:r>
      <w:r w:rsidRPr="00605B56">
        <w:t xml:space="preserve">rain </w:t>
      </w:r>
      <w:r w:rsidR="003C153D" w:rsidRPr="00605B56">
        <w:t>engineers and crews, station attendants, personnel for maintenance faciliti</w:t>
      </w:r>
      <w:r w:rsidR="007A3E8B" w:rsidRPr="00605B56">
        <w:t>es, track, signaling, and roads</w:t>
      </w:r>
    </w:p>
    <w:p w14:paraId="103BE791" w14:textId="77777777" w:rsidR="00DE3C82" w:rsidRPr="00605B56" w:rsidRDefault="00DE3C82" w:rsidP="0081404F">
      <w:pPr>
        <w:pStyle w:val="hsr3"/>
        <w:numPr>
          <w:ilvl w:val="2"/>
          <w:numId w:val="26"/>
        </w:numPr>
      </w:pPr>
      <w:r w:rsidRPr="00605B56">
        <w:t xml:space="preserve">Commissioning of stations, maintenance facilities </w:t>
      </w:r>
    </w:p>
    <w:p w14:paraId="103BE793" w14:textId="1E4E3FD2" w:rsidR="00DE3C82" w:rsidRPr="00605B56" w:rsidRDefault="00DE3C82" w:rsidP="0081404F">
      <w:pPr>
        <w:pStyle w:val="hsr3"/>
        <w:numPr>
          <w:ilvl w:val="2"/>
          <w:numId w:val="26"/>
        </w:numPr>
      </w:pPr>
      <w:r w:rsidRPr="00605B56">
        <w:t>Closeout of construction contracts</w:t>
      </w:r>
    </w:p>
    <w:p w14:paraId="30C86542" w14:textId="0DB09651" w:rsidR="007A3E8B" w:rsidRPr="00605B56" w:rsidRDefault="007A3E8B" w:rsidP="007A3E8B">
      <w:pPr>
        <w:pStyle w:val="Heading2"/>
      </w:pPr>
      <w:r w:rsidRPr="00605B56">
        <w:t>Construction</w:t>
      </w:r>
    </w:p>
    <w:p w14:paraId="0C69A3DE" w14:textId="77777777" w:rsidR="007A3E8B" w:rsidRPr="00605B56" w:rsidRDefault="007A3E8B" w:rsidP="007A3E8B">
      <w:pPr>
        <w:pStyle w:val="hsr1"/>
        <w:numPr>
          <w:ilvl w:val="0"/>
          <w:numId w:val="14"/>
        </w:numPr>
      </w:pPr>
      <w:r w:rsidRPr="00605B56">
        <w:t>The MTAC should review the construction portions of the PMP in final design, as noted above, at 40 percent bid (mid-stream to allow course correction if needed), and at 50 percent constructed (again mid-stream to allow course correction if needed).</w:t>
      </w:r>
    </w:p>
    <w:p w14:paraId="4BC02F93" w14:textId="77777777" w:rsidR="007A3E8B" w:rsidRPr="00605B56" w:rsidRDefault="007A3E8B" w:rsidP="007A3E8B">
      <w:pPr>
        <w:pStyle w:val="hsr1"/>
        <w:numPr>
          <w:ilvl w:val="0"/>
          <w:numId w:val="14"/>
        </w:numPr>
      </w:pPr>
      <w:r w:rsidRPr="00605B56">
        <w:tab/>
        <w:t>The MTAC should update its evaluation of the Grantee’s application of the following:</w:t>
      </w:r>
    </w:p>
    <w:p w14:paraId="26EDEF86" w14:textId="77777777" w:rsidR="007A3E8B" w:rsidRPr="00605B56" w:rsidRDefault="007A3E8B" w:rsidP="007A3E8B">
      <w:pPr>
        <w:pStyle w:val="hsr2"/>
      </w:pPr>
      <w:r w:rsidRPr="00605B56">
        <w:t xml:space="preserve">Technical capability and capacity to perform the work of the construction phase and adequately prepare for operations; including evaluation of adequacy of railroad force account work – scheduling of crews, types and numbers of crews </w:t>
      </w:r>
    </w:p>
    <w:p w14:paraId="110AA859" w14:textId="77777777" w:rsidR="007A3E8B" w:rsidRPr="00605B56" w:rsidRDefault="007A3E8B" w:rsidP="007A3E8B">
      <w:pPr>
        <w:pStyle w:val="hsr2"/>
      </w:pPr>
      <w:r w:rsidRPr="00605B56">
        <w:t>Implementation of environmental mitigation measures as part of construction</w:t>
      </w:r>
    </w:p>
    <w:p w14:paraId="60E90871" w14:textId="77777777" w:rsidR="007A3E8B" w:rsidRPr="00605B56" w:rsidRDefault="007A3E8B" w:rsidP="007A3E8B">
      <w:pPr>
        <w:pStyle w:val="hsr2"/>
      </w:pPr>
      <w:r w:rsidRPr="00605B56">
        <w:t xml:space="preserve">Implementation of its procedures for configuration and control during construction of contract documents / shop drawings / change documents  </w:t>
      </w:r>
    </w:p>
    <w:p w14:paraId="66F5B409" w14:textId="50DD7913" w:rsidR="007A3E8B" w:rsidRPr="00605B56" w:rsidRDefault="007A3E8B" w:rsidP="007A3E8B">
      <w:pPr>
        <w:pStyle w:val="hsr2"/>
      </w:pPr>
      <w:r w:rsidRPr="00605B56">
        <w:t>Use of project controls  - for documents, cost, schedule, risk, and dispute resolution</w:t>
      </w:r>
    </w:p>
    <w:p w14:paraId="7B08A711" w14:textId="77777777" w:rsidR="007A3E8B" w:rsidRPr="00605B56" w:rsidRDefault="007A3E8B" w:rsidP="007A3E8B">
      <w:pPr>
        <w:pStyle w:val="hsr2"/>
      </w:pPr>
      <w:r w:rsidRPr="00605B56">
        <w:t>Adequacy of construction inspection and administration</w:t>
      </w:r>
    </w:p>
    <w:p w14:paraId="15FE234D" w14:textId="77777777" w:rsidR="007A3E8B" w:rsidRPr="00605B56" w:rsidRDefault="007A3E8B" w:rsidP="007A3E8B">
      <w:pPr>
        <w:pStyle w:val="hsr2"/>
      </w:pPr>
      <w:r w:rsidRPr="00605B56">
        <w:t>Compliance with labor agreements and related policies</w:t>
      </w:r>
    </w:p>
    <w:p w14:paraId="519CF8A5" w14:textId="77777777" w:rsidR="007A3E8B" w:rsidRPr="00605B56" w:rsidRDefault="007A3E8B" w:rsidP="007A3E8B">
      <w:pPr>
        <w:pStyle w:val="hsr2"/>
      </w:pPr>
      <w:r w:rsidRPr="00605B56">
        <w:t>Use of construction management and administration procedures</w:t>
      </w:r>
    </w:p>
    <w:p w14:paraId="0DFBAA36" w14:textId="5EC06165" w:rsidR="007A3E8B" w:rsidRPr="00605B56" w:rsidRDefault="007A3E8B" w:rsidP="007A3E8B">
      <w:pPr>
        <w:pStyle w:val="hsr2"/>
      </w:pPr>
      <w:r w:rsidRPr="00605B56">
        <w:t xml:space="preserve">Follow through on plans and procedures in PMP sub-plans   </w:t>
      </w:r>
    </w:p>
    <w:p w14:paraId="35630EF2" w14:textId="30AB5657" w:rsidR="007A3E8B" w:rsidRPr="00605B56" w:rsidRDefault="007A3E8B" w:rsidP="007A3E8B">
      <w:pPr>
        <w:pStyle w:val="hsr1"/>
        <w:numPr>
          <w:ilvl w:val="0"/>
          <w:numId w:val="0"/>
        </w:numPr>
      </w:pPr>
    </w:p>
    <w:p w14:paraId="2C4601E0" w14:textId="565126ED" w:rsidR="00B15512" w:rsidRPr="00605B56" w:rsidRDefault="00DE3C82" w:rsidP="007A3E8B">
      <w:pPr>
        <w:pStyle w:val="Heading1"/>
        <w:spacing w:before="0" w:after="0"/>
        <w:rPr>
          <w:b w:val="0"/>
        </w:rPr>
      </w:pPr>
      <w:r w:rsidRPr="00605B56">
        <w:t>REFERENCES</w:t>
      </w:r>
      <w:r w:rsidR="00B15512" w:rsidRPr="00605B56">
        <w:t xml:space="preserve"> -</w:t>
      </w:r>
      <w:r w:rsidR="00B15512" w:rsidRPr="00605B56">
        <w:rPr>
          <w:b w:val="0"/>
        </w:rPr>
        <w:t xml:space="preserve"> </w:t>
      </w:r>
      <w:r w:rsidR="00B15512" w:rsidRPr="00605B56">
        <w:rPr>
          <w:rFonts w:ascii="Calibri" w:hAnsi="Calibri"/>
          <w:b w:val="0"/>
        </w:rPr>
        <w:t>S</w:t>
      </w:r>
      <w:r w:rsidR="002A777F" w:rsidRPr="00605B56">
        <w:rPr>
          <w:rFonts w:ascii="Calibri" w:hAnsi="Calibri"/>
          <w:b w:val="0"/>
        </w:rPr>
        <w:t>ee</w:t>
      </w:r>
      <w:r w:rsidR="00B15512" w:rsidRPr="00605B56">
        <w:rPr>
          <w:rFonts w:ascii="Calibri" w:hAnsi="Calibri"/>
          <w:b w:val="0"/>
        </w:rPr>
        <w:t xml:space="preserve"> MP 01</w:t>
      </w:r>
    </w:p>
    <w:p w14:paraId="103BE7BE" w14:textId="77777777" w:rsidR="00DE3C82" w:rsidRPr="00605B56" w:rsidRDefault="00DE3C82" w:rsidP="00DE3C82">
      <w:pPr>
        <w:sectPr w:rsidR="00DE3C82" w:rsidRPr="00605B56" w:rsidSect="004C660B">
          <w:footerReference w:type="default" r:id="rId13"/>
          <w:pgSz w:w="12240" w:h="15840"/>
          <w:pgMar w:top="1440" w:right="1440" w:bottom="1440" w:left="1440" w:header="720" w:footer="720" w:gutter="0"/>
          <w:pgNumType w:start="1"/>
          <w:cols w:space="720"/>
          <w:docGrid w:linePitch="360"/>
        </w:sectPr>
      </w:pPr>
    </w:p>
    <w:p w14:paraId="103BE7BF" w14:textId="2FDFAB2E" w:rsidR="00DE3C82" w:rsidRPr="00605B56" w:rsidRDefault="00516386" w:rsidP="00DE3C82">
      <w:pPr>
        <w:pStyle w:val="AppendixSubtitle"/>
        <w:rPr>
          <w:sz w:val="20"/>
          <w:szCs w:val="20"/>
        </w:rPr>
      </w:pPr>
      <w:r w:rsidRPr="00605B56">
        <w:rPr>
          <w:noProof/>
        </w:rPr>
        <w:lastRenderedPageBreak/>
        <w:drawing>
          <wp:inline distT="0" distB="0" distL="0" distR="0" wp14:anchorId="733D5D04" wp14:editId="10839544">
            <wp:extent cx="5413333" cy="5876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6841" cy="5880734"/>
                    </a:xfrm>
                    <a:prstGeom prst="rect">
                      <a:avLst/>
                    </a:prstGeom>
                    <a:noFill/>
                    <a:ln>
                      <a:noFill/>
                    </a:ln>
                  </pic:spPr>
                </pic:pic>
              </a:graphicData>
            </a:graphic>
          </wp:inline>
        </w:drawing>
      </w:r>
    </w:p>
    <w:p w14:paraId="38D5E11C" w14:textId="36831293" w:rsidR="00C70799" w:rsidRPr="00605B56" w:rsidRDefault="00C70799" w:rsidP="00C70799">
      <w:r w:rsidRPr="00605B56">
        <w:rPr>
          <w:noProof/>
        </w:rPr>
        <w:lastRenderedPageBreak/>
        <w:drawing>
          <wp:inline distT="0" distB="0" distL="0" distR="0" wp14:anchorId="52F760FA" wp14:editId="2028C067">
            <wp:extent cx="5705475" cy="5797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934" cy="5797842"/>
                    </a:xfrm>
                    <a:prstGeom prst="rect">
                      <a:avLst/>
                    </a:prstGeom>
                    <a:noFill/>
                    <a:ln>
                      <a:noFill/>
                    </a:ln>
                  </pic:spPr>
                </pic:pic>
              </a:graphicData>
            </a:graphic>
          </wp:inline>
        </w:drawing>
      </w:r>
    </w:p>
    <w:p w14:paraId="103BE7C0" w14:textId="77777777" w:rsidR="00DE3C82" w:rsidRPr="00605B56" w:rsidRDefault="00DE3C82" w:rsidP="00DE3C82">
      <w:pPr>
        <w:spacing w:after="200" w:line="276" w:lineRule="auto"/>
      </w:pPr>
      <w:r w:rsidRPr="00605B56">
        <w:br w:type="page"/>
      </w:r>
    </w:p>
    <w:p w14:paraId="103BE7C1" w14:textId="55CD012D" w:rsidR="00DE3C82" w:rsidRPr="00605B56" w:rsidRDefault="00C70799" w:rsidP="00DE3C82">
      <w:r w:rsidRPr="00605B56">
        <w:rPr>
          <w:noProof/>
        </w:rPr>
        <w:lastRenderedPageBreak/>
        <w:drawing>
          <wp:anchor distT="0" distB="0" distL="114300" distR="114300" simplePos="0" relativeHeight="251662336" behindDoc="0" locked="0" layoutInCell="1" allowOverlap="1" wp14:anchorId="208E21DF" wp14:editId="29C06AC6">
            <wp:simplePos x="0" y="0"/>
            <wp:positionH relativeFrom="column">
              <wp:align>left</wp:align>
            </wp:positionH>
            <wp:positionV relativeFrom="paragraph">
              <wp:align>top</wp:align>
            </wp:positionV>
            <wp:extent cx="5562600" cy="63385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6338570"/>
                    </a:xfrm>
                    <a:prstGeom prst="rect">
                      <a:avLst/>
                    </a:prstGeom>
                    <a:noFill/>
                    <a:ln>
                      <a:noFill/>
                    </a:ln>
                  </pic:spPr>
                </pic:pic>
              </a:graphicData>
            </a:graphic>
          </wp:anchor>
        </w:drawing>
      </w:r>
      <w:r w:rsidR="00376401">
        <w:br w:type="textWrapping" w:clear="all"/>
      </w:r>
    </w:p>
    <w:p w14:paraId="122D65B5" w14:textId="77777777" w:rsidR="0083689C" w:rsidRPr="00605B56" w:rsidRDefault="00516386" w:rsidP="001621C9">
      <w:r w:rsidRPr="00605B56">
        <w:rPr>
          <w:noProof/>
        </w:rPr>
        <w:drawing>
          <wp:inline distT="0" distB="0" distL="0" distR="0" wp14:anchorId="0039F505" wp14:editId="4B0670FE">
            <wp:extent cx="5638800" cy="325401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1775" cy="3255729"/>
                    </a:xfrm>
                    <a:prstGeom prst="rect">
                      <a:avLst/>
                    </a:prstGeom>
                    <a:noFill/>
                    <a:ln>
                      <a:noFill/>
                    </a:ln>
                  </pic:spPr>
                </pic:pic>
              </a:graphicData>
            </a:graphic>
          </wp:inline>
        </w:drawing>
      </w:r>
    </w:p>
    <w:p w14:paraId="09B97670" w14:textId="34D9DCCB" w:rsidR="0083689C" w:rsidRPr="00605B56" w:rsidRDefault="0083689C" w:rsidP="00376401">
      <w:pPr>
        <w:rPr>
          <w:rFonts w:eastAsia="Arial" w:cs="Arial"/>
        </w:rPr>
      </w:pPr>
    </w:p>
    <w:sectPr w:rsidR="0083689C" w:rsidRPr="00605B56" w:rsidSect="00E41A31">
      <w:headerReference w:type="even" r:id="rId18"/>
      <w:headerReference w:type="default" r:id="rId19"/>
      <w:footerReference w:type="default" r:id="rId20"/>
      <w:headerReference w:type="first" r:id="rId21"/>
      <w:pgSz w:w="12240" w:h="15840" w:code="1"/>
      <w:pgMar w:top="1152" w:right="1008" w:bottom="1152" w:left="1008" w:header="720" w:footer="1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42424" w14:textId="77777777" w:rsidR="0083689C" w:rsidRDefault="0083689C" w:rsidP="00F75A79">
      <w:r>
        <w:separator/>
      </w:r>
    </w:p>
  </w:endnote>
  <w:endnote w:type="continuationSeparator" w:id="0">
    <w:p w14:paraId="33417D22" w14:textId="77777777" w:rsidR="0083689C" w:rsidRDefault="0083689C"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E7F5" w14:textId="77777777" w:rsidR="0083689C" w:rsidRDefault="0083689C" w:rsidP="00F75A79">
    <w:pPr>
      <w:pStyle w:val="Footer"/>
    </w:pPr>
  </w:p>
  <w:p w14:paraId="103BE7F6" w14:textId="77777777" w:rsidR="0083689C" w:rsidRDefault="0083689C" w:rsidP="00F75A79">
    <w:pPr>
      <w:pStyle w:val="Footer"/>
    </w:pPr>
    <w:r>
      <w:t xml:space="preserve">MP </w:t>
    </w:r>
    <w:r w:rsidRPr="007C3721">
      <w:t>20 - Project Management Plan Review</w:t>
    </w:r>
  </w:p>
  <w:p w14:paraId="103BE7F7" w14:textId="603888DD" w:rsidR="0083689C" w:rsidRDefault="0083689C" w:rsidP="00025179">
    <w:pPr>
      <w:pStyle w:val="Footer"/>
    </w:pPr>
    <w:r>
      <w:t>For FRA Internal Use Only, Draft, August 2014</w:t>
    </w:r>
  </w:p>
  <w:p w14:paraId="103BE7F8" w14:textId="77777777" w:rsidR="0083689C" w:rsidRDefault="00F36791" w:rsidP="00F75A79">
    <w:pPr>
      <w:pStyle w:val="Footer"/>
    </w:pPr>
    <w:sdt>
      <w:sdtPr>
        <w:id w:val="-1398504116"/>
        <w:docPartObj>
          <w:docPartGallery w:val="Page Numbers (Bottom of Page)"/>
          <w:docPartUnique/>
        </w:docPartObj>
      </w:sdtPr>
      <w:sdtEndPr/>
      <w:sdtContent>
        <w:sdt>
          <w:sdtPr>
            <w:id w:val="388847052"/>
            <w:docPartObj>
              <w:docPartGallery w:val="Page Numbers (Top of Page)"/>
              <w:docPartUnique/>
            </w:docPartObj>
          </w:sdtPr>
          <w:sdtEndPr/>
          <w:sdtContent>
            <w:r w:rsidR="0083689C">
              <w:t xml:space="preserve">Page </w:t>
            </w:r>
            <w:r w:rsidR="0083689C">
              <w:rPr>
                <w:sz w:val="24"/>
                <w:szCs w:val="24"/>
              </w:rPr>
              <w:fldChar w:fldCharType="begin"/>
            </w:r>
            <w:r w:rsidR="0083689C">
              <w:instrText xml:space="preserve"> PAGE </w:instrText>
            </w:r>
            <w:r w:rsidR="0083689C">
              <w:rPr>
                <w:sz w:val="24"/>
                <w:szCs w:val="24"/>
              </w:rPr>
              <w:fldChar w:fldCharType="separate"/>
            </w:r>
            <w:r>
              <w:rPr>
                <w:noProof/>
              </w:rPr>
              <w:t>6</w:t>
            </w:r>
            <w:r w:rsidR="0083689C">
              <w:rPr>
                <w:sz w:val="24"/>
                <w:szCs w:val="24"/>
              </w:rPr>
              <w:fldChar w:fldCharType="end"/>
            </w:r>
            <w:r w:rsidR="0083689C">
              <w:t xml:space="preserve"> of </w:t>
            </w:r>
            <w:fldSimple w:instr=" NUMPAGES  ">
              <w:r>
                <w:rPr>
                  <w:noProof/>
                </w:rPr>
                <w:t>10</w:t>
              </w:r>
            </w:fldSimple>
          </w:sdtContent>
        </w:sdt>
      </w:sdtContent>
    </w:sdt>
  </w:p>
  <w:p w14:paraId="103BE7F9" w14:textId="77777777" w:rsidR="0083689C" w:rsidRPr="00F75A79" w:rsidRDefault="0083689C" w:rsidP="00F75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E81D" w14:textId="77777777" w:rsidR="0083689C" w:rsidRDefault="0083689C" w:rsidP="00F75A79">
    <w:pPr>
      <w:pStyle w:val="Footer"/>
    </w:pPr>
  </w:p>
  <w:p w14:paraId="7C58B558" w14:textId="77777777" w:rsidR="0083689C" w:rsidRDefault="0083689C" w:rsidP="00BC71ED">
    <w:pPr>
      <w:pStyle w:val="Footer"/>
    </w:pPr>
    <w:r>
      <w:t xml:space="preserve">MP </w:t>
    </w:r>
    <w:r w:rsidRPr="007C3721">
      <w:t>20 - Project Management Plan Review</w:t>
    </w:r>
  </w:p>
  <w:p w14:paraId="7231EC5F" w14:textId="27E3025F" w:rsidR="0083689C" w:rsidRDefault="0083689C" w:rsidP="00BC71ED">
    <w:pPr>
      <w:pStyle w:val="Footer"/>
    </w:pPr>
    <w:r>
      <w:t>For Internal Use Only, Draft, August 2014</w:t>
    </w:r>
  </w:p>
  <w:p w14:paraId="103BE820" w14:textId="77777777" w:rsidR="0083689C" w:rsidRDefault="00F36791" w:rsidP="00F75A79">
    <w:pPr>
      <w:pStyle w:val="Footer"/>
    </w:pPr>
    <w:sdt>
      <w:sdtPr>
        <w:id w:val="303444210"/>
        <w:docPartObj>
          <w:docPartGallery w:val="Page Numbers (Bottom of Page)"/>
          <w:docPartUnique/>
        </w:docPartObj>
      </w:sdtPr>
      <w:sdtEndPr/>
      <w:sdtContent>
        <w:sdt>
          <w:sdtPr>
            <w:id w:val="-201324150"/>
            <w:docPartObj>
              <w:docPartGallery w:val="Page Numbers (Top of Page)"/>
              <w:docPartUnique/>
            </w:docPartObj>
          </w:sdtPr>
          <w:sdtEndPr/>
          <w:sdtContent>
            <w:r w:rsidR="0083689C">
              <w:t xml:space="preserve">Page </w:t>
            </w:r>
            <w:r w:rsidR="0083689C">
              <w:rPr>
                <w:sz w:val="24"/>
                <w:szCs w:val="24"/>
              </w:rPr>
              <w:fldChar w:fldCharType="begin"/>
            </w:r>
            <w:r w:rsidR="0083689C">
              <w:instrText xml:space="preserve"> PAGE </w:instrText>
            </w:r>
            <w:r w:rsidR="0083689C">
              <w:rPr>
                <w:sz w:val="24"/>
                <w:szCs w:val="24"/>
              </w:rPr>
              <w:fldChar w:fldCharType="separate"/>
            </w:r>
            <w:r>
              <w:rPr>
                <w:noProof/>
              </w:rPr>
              <w:t>10</w:t>
            </w:r>
            <w:r w:rsidR="0083689C">
              <w:rPr>
                <w:sz w:val="24"/>
                <w:szCs w:val="24"/>
              </w:rPr>
              <w:fldChar w:fldCharType="end"/>
            </w:r>
            <w:r w:rsidR="0083689C">
              <w:t xml:space="preserve"> of </w:t>
            </w:r>
            <w:fldSimple w:instr=" NUMPAGES  ">
              <w:r>
                <w:rPr>
                  <w:noProof/>
                </w:rPr>
                <w:t>10</w:t>
              </w:r>
            </w:fldSimple>
          </w:sdtContent>
        </w:sdt>
      </w:sdtContent>
    </w:sdt>
  </w:p>
  <w:p w14:paraId="103BE821" w14:textId="77777777" w:rsidR="0083689C" w:rsidRPr="00F75A79" w:rsidRDefault="0083689C"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7686D" w14:textId="77777777" w:rsidR="0083689C" w:rsidRDefault="0083689C" w:rsidP="00F75A79">
      <w:r>
        <w:separator/>
      </w:r>
    </w:p>
  </w:footnote>
  <w:footnote w:type="continuationSeparator" w:id="0">
    <w:p w14:paraId="24BBC63F" w14:textId="77777777" w:rsidR="0083689C" w:rsidRDefault="0083689C"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3DDA" w14:textId="34A252FB" w:rsidR="0083689C" w:rsidRDefault="00836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C39AB" w14:textId="52564212" w:rsidR="0083689C" w:rsidRPr="001008C5" w:rsidRDefault="0083689C" w:rsidP="001008C5">
    <w:pPr>
      <w:rPr>
        <w:b/>
      </w:rPr>
    </w:pPr>
    <w:r w:rsidRPr="001008C5">
      <w:rPr>
        <w:b/>
      </w:rPr>
      <w:t>APPENDIX A</w:t>
    </w:r>
  </w:p>
  <w:p w14:paraId="14CD528E" w14:textId="77777777" w:rsidR="0083689C" w:rsidRPr="001008C5" w:rsidRDefault="0083689C" w:rsidP="001008C5">
    <w:pPr>
      <w:rPr>
        <w:b/>
      </w:rPr>
    </w:pPr>
  </w:p>
  <w:p w14:paraId="23E4C79C" w14:textId="582C811A" w:rsidR="0083689C" w:rsidRPr="001008C5" w:rsidRDefault="0083689C" w:rsidP="001008C5">
    <w:pPr>
      <w:rPr>
        <w:b/>
      </w:rPr>
    </w:pPr>
    <w:r>
      <w:rPr>
        <w:b/>
      </w:rPr>
      <w:t>PMP Table of Contents</w:t>
    </w:r>
  </w:p>
  <w:p w14:paraId="1ACA8417" w14:textId="77777777" w:rsidR="0083689C" w:rsidRDefault="0083689C" w:rsidP="001008C5">
    <w:pPr>
      <w:pBdr>
        <w:bottom w:val="single" w:sz="4" w:space="1" w:color="auto"/>
      </w:pBdr>
    </w:pPr>
  </w:p>
  <w:p w14:paraId="103BE81C" w14:textId="4A851721" w:rsidR="0083689C" w:rsidRDefault="0083689C" w:rsidP="001621C9"/>
  <w:p w14:paraId="5F8AD94C" w14:textId="77777777" w:rsidR="0083689C" w:rsidRDefault="0083689C" w:rsidP="001621C9">
    <w:r>
      <w:t>KEY</w:t>
    </w:r>
  </w:p>
  <w:p w14:paraId="50B6216E" w14:textId="734D1505" w:rsidR="0083689C" w:rsidRPr="00B5008C" w:rsidRDefault="0083689C" w:rsidP="001621C9">
    <w:pPr>
      <w:rPr>
        <w:sz w:val="20"/>
        <w:szCs w:val="20"/>
      </w:rPr>
    </w:pPr>
    <w:r w:rsidRPr="00B5008C">
      <w:rPr>
        <w:sz w:val="20"/>
        <w:szCs w:val="20"/>
      </w:rPr>
      <w:t>P – Preliminary</w:t>
    </w:r>
    <w:r>
      <w:rPr>
        <w:sz w:val="20"/>
        <w:szCs w:val="20"/>
      </w:rPr>
      <w:t xml:space="preserve"> or draft</w:t>
    </w:r>
  </w:p>
  <w:p w14:paraId="762D5CC3" w14:textId="37CA9F46" w:rsidR="0083689C" w:rsidRPr="00B5008C" w:rsidRDefault="0083689C" w:rsidP="001621C9">
    <w:pPr>
      <w:rPr>
        <w:sz w:val="20"/>
        <w:szCs w:val="20"/>
      </w:rPr>
    </w:pPr>
    <w:r w:rsidRPr="00B5008C">
      <w:rPr>
        <w:sz w:val="20"/>
        <w:szCs w:val="20"/>
      </w:rPr>
      <w:t xml:space="preserve">C – </w:t>
    </w:r>
    <w:r>
      <w:rPr>
        <w:sz w:val="20"/>
        <w:szCs w:val="20"/>
      </w:rPr>
      <w:t>Required to be c</w:t>
    </w:r>
    <w:r w:rsidRPr="00B5008C">
      <w:rPr>
        <w:sz w:val="20"/>
        <w:szCs w:val="20"/>
      </w:rPr>
      <w:t>omplete</w:t>
    </w:r>
  </w:p>
  <w:p w14:paraId="2F9BB108" w14:textId="2F972DE0" w:rsidR="0083689C" w:rsidRPr="00B5008C" w:rsidRDefault="0083689C" w:rsidP="001621C9">
    <w:pPr>
      <w:rPr>
        <w:sz w:val="20"/>
        <w:szCs w:val="20"/>
      </w:rPr>
    </w:pPr>
    <w:r w:rsidRPr="00B5008C">
      <w:rPr>
        <w:sz w:val="20"/>
        <w:szCs w:val="20"/>
      </w:rPr>
      <w:t xml:space="preserve">M – Modification </w:t>
    </w:r>
    <w:r>
      <w:rPr>
        <w:sz w:val="20"/>
        <w:szCs w:val="20"/>
      </w:rPr>
      <w:t>is</w:t>
    </w:r>
    <w:r w:rsidRPr="00B5008C">
      <w:rPr>
        <w:sz w:val="20"/>
        <w:szCs w:val="20"/>
      </w:rPr>
      <w:t xml:space="preserve"> required</w:t>
    </w:r>
  </w:p>
  <w:p w14:paraId="1C2BA06C" w14:textId="77777777" w:rsidR="0083689C" w:rsidRPr="001621C9" w:rsidRDefault="0083689C" w:rsidP="001621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2766B" w14:textId="6C41D557" w:rsidR="0083689C" w:rsidRDefault="00836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05B10CC6"/>
    <w:multiLevelType w:val="multilevel"/>
    <w:tmpl w:val="71A2B9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nsid w:val="0CED19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9C3B60"/>
    <w:multiLevelType w:val="hybridMultilevel"/>
    <w:tmpl w:val="2F2E5772"/>
    <w:lvl w:ilvl="0" w:tplc="9D903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
    <w:nsid w:val="1A5730A1"/>
    <w:multiLevelType w:val="hybridMultilevel"/>
    <w:tmpl w:val="807A6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2641F"/>
    <w:multiLevelType w:val="multilevel"/>
    <w:tmpl w:val="688ADD0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nsid w:val="1F3F6B70"/>
    <w:multiLevelType w:val="multilevel"/>
    <w:tmpl w:val="A6687AC0"/>
    <w:styleLink w:val="HSRLists"/>
    <w:lvl w:ilvl="0">
      <w:start w:val="1"/>
      <w:numFmt w:val="decimal"/>
      <w:pStyle w:val="hsr1"/>
      <w:lvlText w:val="%1."/>
      <w:lvlJc w:val="left"/>
      <w:pPr>
        <w:ind w:left="720" w:hanging="360"/>
      </w:pPr>
      <w:rPr>
        <w:rFonts w:hint="default"/>
      </w:rPr>
    </w:lvl>
    <w:lvl w:ilvl="1">
      <w:start w:val="1"/>
      <w:numFmt w:val="lowerLetter"/>
      <w:pStyle w:val="hsr2"/>
      <w:lvlText w:val="%2."/>
      <w:lvlJc w:val="left"/>
      <w:pPr>
        <w:ind w:left="1080" w:hanging="360"/>
      </w:pPr>
      <w:rPr>
        <w:rFonts w:hint="default"/>
      </w:rPr>
    </w:lvl>
    <w:lvl w:ilvl="2">
      <w:start w:val="1"/>
      <w:numFmt w:val="lowerRoman"/>
      <w:pStyle w:val="hsr3"/>
      <w:lvlText w:val="%3."/>
      <w:lvlJc w:val="right"/>
      <w:pPr>
        <w:ind w:left="1440" w:hanging="360"/>
      </w:pPr>
      <w:rPr>
        <w:rFonts w:hint="default"/>
      </w:rPr>
    </w:lvl>
    <w:lvl w:ilvl="3">
      <w:start w:val="1"/>
      <w:numFmt w:val="bullet"/>
      <w:pStyle w:val="hsr4"/>
      <w:lvlText w:val=""/>
      <w:lvlJc w:val="left"/>
      <w:pPr>
        <w:ind w:left="1800" w:hanging="360"/>
      </w:pPr>
      <w:rPr>
        <w:rFonts w:ascii="Symbol" w:hAnsi="Symbol" w:hint="default"/>
      </w:rPr>
    </w:lvl>
    <w:lvl w:ilvl="4">
      <w:start w:val="1"/>
      <w:numFmt w:val="bullet"/>
      <w:pStyle w:val="hsr5"/>
      <w:lvlText w:val="○"/>
      <w:lvlJc w:val="left"/>
      <w:pPr>
        <w:ind w:left="2160" w:hanging="360"/>
      </w:pPr>
      <w:rPr>
        <w:rFonts w:ascii="Times" w:hAnsi="Times" w:hint="default"/>
      </w:rPr>
    </w:lvl>
    <w:lvl w:ilvl="5">
      <w:start w:val="1"/>
      <w:numFmt w:val="bullet"/>
      <w:pStyle w:val="hsr6"/>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9">
    <w:nsid w:val="21E75719"/>
    <w:multiLevelType w:val="multilevel"/>
    <w:tmpl w:val="4176CD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nsid w:val="2905653A"/>
    <w:multiLevelType w:val="multilevel"/>
    <w:tmpl w:val="1F5A0D9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D6D67EC"/>
    <w:multiLevelType w:val="hybridMultilevel"/>
    <w:tmpl w:val="3F04CC6A"/>
    <w:lvl w:ilvl="0" w:tplc="03E257D2">
      <w:start w:val="1"/>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9171F"/>
    <w:multiLevelType w:val="multilevel"/>
    <w:tmpl w:val="72B629F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1147A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BCC07C2"/>
    <w:multiLevelType w:val="multilevel"/>
    <w:tmpl w:val="8402C1F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nsid w:val="50A51D0A"/>
    <w:multiLevelType w:val="multilevel"/>
    <w:tmpl w:val="5B1E225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57F22765"/>
    <w:multiLevelType w:val="hybridMultilevel"/>
    <w:tmpl w:val="027C8F9C"/>
    <w:lvl w:ilvl="0" w:tplc="04090001">
      <w:start w:val="1"/>
      <w:numFmt w:val="bullet"/>
      <w:lvlText w:val=""/>
      <w:lvlJc w:val="left"/>
      <w:pPr>
        <w:ind w:left="547" w:hanging="360"/>
      </w:pPr>
      <w:rPr>
        <w:rFonts w:ascii="Symbol" w:hAnsi="Symbol"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nsid w:val="59AA168F"/>
    <w:multiLevelType w:val="multilevel"/>
    <w:tmpl w:val="32BCD22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2">
    <w:nsid w:val="5FA3440F"/>
    <w:multiLevelType w:val="hybridMultilevel"/>
    <w:tmpl w:val="4F48E21C"/>
    <w:lvl w:ilvl="0" w:tplc="03E257D2">
      <w:start w:val="1"/>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570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39401E"/>
    <w:multiLevelType w:val="multilevel"/>
    <w:tmpl w:val="25D4A04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5">
    <w:nsid w:val="673475AE"/>
    <w:multiLevelType w:val="hybridMultilevel"/>
    <w:tmpl w:val="CC22E04A"/>
    <w:lvl w:ilvl="0" w:tplc="03E257D2">
      <w:start w:val="1"/>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404B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AC312A2"/>
    <w:multiLevelType w:val="multilevel"/>
    <w:tmpl w:val="1B8AC56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8">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abstractNum w:abstractNumId="29">
    <w:nsid w:val="7DDE78AA"/>
    <w:multiLevelType w:val="multilevel"/>
    <w:tmpl w:val="C242EB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0">
    <w:nsid w:val="7F8D1241"/>
    <w:multiLevelType w:val="multilevel"/>
    <w:tmpl w:val="F6AA970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Times" w:hAnsi="Times" w:hint="default"/>
      </w:rPr>
    </w:lvl>
    <w:lvl w:ilvl="5">
      <w:start w:val="1"/>
      <w:numFmt w:val="bullet"/>
      <w:lvlText w:val=""/>
      <w:lvlJc w:val="left"/>
      <w:pPr>
        <w:ind w:left="2520" w:hanging="360"/>
      </w:pPr>
      <w:rPr>
        <w:rFonts w:ascii="Wingdings" w:hAnsi="Wingding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num w:numId="1">
    <w:abstractNumId w:val="28"/>
  </w:num>
  <w:num w:numId="2">
    <w:abstractNumId w:val="18"/>
  </w:num>
  <w:num w:numId="3">
    <w:abstractNumId w:val="1"/>
  </w:num>
  <w:num w:numId="4">
    <w:abstractNumId w:val="5"/>
  </w:num>
  <w:num w:numId="5">
    <w:abstractNumId w:val="0"/>
  </w:num>
  <w:num w:numId="6">
    <w:abstractNumId w:val="11"/>
  </w:num>
  <w:num w:numId="7">
    <w:abstractNumId w:val="16"/>
  </w:num>
  <w:num w:numId="8">
    <w:abstractNumId w:val="14"/>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num>
  <w:num w:numId="17">
    <w:abstractNumId w:val="8"/>
  </w:num>
  <w:num w:numId="18">
    <w:abstractNumId w:val="8"/>
  </w:num>
  <w:num w:numId="19">
    <w:abstractNumId w:val="8"/>
  </w:num>
  <w:num w:numId="20">
    <w:abstractNumId w:val="8"/>
  </w:num>
  <w:num w:numId="21">
    <w:abstractNumId w:val="9"/>
  </w:num>
  <w:num w:numId="22">
    <w:abstractNumId w:val="30"/>
  </w:num>
  <w:num w:numId="23">
    <w:abstractNumId w:val="29"/>
  </w:num>
  <w:num w:numId="24">
    <w:abstractNumId w:val="7"/>
  </w:num>
  <w:num w:numId="25">
    <w:abstractNumId w:val="27"/>
  </w:num>
  <w:num w:numId="26">
    <w:abstractNumId w:val="2"/>
  </w:num>
  <w:num w:numId="27">
    <w:abstractNumId w:val="13"/>
  </w:num>
  <w:num w:numId="28">
    <w:abstractNumId w:val="8"/>
  </w:num>
  <w:num w:numId="29">
    <w:abstractNumId w:val="23"/>
  </w:num>
  <w:num w:numId="30">
    <w:abstractNumId w:val="26"/>
  </w:num>
  <w:num w:numId="31">
    <w:abstractNumId w:val="3"/>
  </w:num>
  <w:num w:numId="32">
    <w:abstractNumId w:val="15"/>
  </w:num>
  <w:num w:numId="33">
    <w:abstractNumId w:val="19"/>
  </w:num>
  <w:num w:numId="34">
    <w:abstractNumId w:val="25"/>
  </w:num>
  <w:num w:numId="35">
    <w:abstractNumId w:val="12"/>
  </w:num>
  <w:num w:numId="36">
    <w:abstractNumId w:val="22"/>
  </w:num>
  <w:num w:numId="37">
    <w:abstractNumId w:val="17"/>
  </w:num>
  <w:num w:numId="38">
    <w:abstractNumId w:val="28"/>
  </w:num>
  <w:num w:numId="39">
    <w:abstractNumId w:val="10"/>
  </w:num>
  <w:num w:numId="40">
    <w:abstractNumId w:val="6"/>
  </w:num>
  <w:num w:numId="41">
    <w:abstractNumId w:val="28"/>
  </w:num>
  <w:num w:numId="42">
    <w:abstractNumId w:val="8"/>
  </w:num>
  <w:num w:numId="43">
    <w:abstractNumId w:val="20"/>
  </w:num>
  <w:num w:numId="44">
    <w:abstractNumId w:val="4"/>
  </w:num>
  <w:num w:numId="4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76"/>
    <w:rsid w:val="00025179"/>
    <w:rsid w:val="000376A7"/>
    <w:rsid w:val="00050F68"/>
    <w:rsid w:val="00056DC7"/>
    <w:rsid w:val="00060C16"/>
    <w:rsid w:val="000B5634"/>
    <w:rsid w:val="000C0DAB"/>
    <w:rsid w:val="000E3BD1"/>
    <w:rsid w:val="001008C5"/>
    <w:rsid w:val="00106C5F"/>
    <w:rsid w:val="001272B9"/>
    <w:rsid w:val="001606DE"/>
    <w:rsid w:val="00161FF8"/>
    <w:rsid w:val="001621C9"/>
    <w:rsid w:val="00185304"/>
    <w:rsid w:val="001A68A4"/>
    <w:rsid w:val="001C235D"/>
    <w:rsid w:val="001C376D"/>
    <w:rsid w:val="002067BB"/>
    <w:rsid w:val="00206D1A"/>
    <w:rsid w:val="002217A2"/>
    <w:rsid w:val="002241D1"/>
    <w:rsid w:val="002710FA"/>
    <w:rsid w:val="0027200B"/>
    <w:rsid w:val="002744E3"/>
    <w:rsid w:val="0028013D"/>
    <w:rsid w:val="00283A21"/>
    <w:rsid w:val="00290EB6"/>
    <w:rsid w:val="00291223"/>
    <w:rsid w:val="0029606B"/>
    <w:rsid w:val="002A2725"/>
    <w:rsid w:val="002A6686"/>
    <w:rsid w:val="002A777F"/>
    <w:rsid w:val="002C121C"/>
    <w:rsid w:val="002D5187"/>
    <w:rsid w:val="002F43FA"/>
    <w:rsid w:val="002F75CA"/>
    <w:rsid w:val="002F7BB1"/>
    <w:rsid w:val="003146DE"/>
    <w:rsid w:val="0034782D"/>
    <w:rsid w:val="00372CF2"/>
    <w:rsid w:val="00376401"/>
    <w:rsid w:val="003A3686"/>
    <w:rsid w:val="003B40F9"/>
    <w:rsid w:val="003C153D"/>
    <w:rsid w:val="003D112B"/>
    <w:rsid w:val="003D6058"/>
    <w:rsid w:val="003E4070"/>
    <w:rsid w:val="003F4194"/>
    <w:rsid w:val="0043208E"/>
    <w:rsid w:val="0043379E"/>
    <w:rsid w:val="00451DBA"/>
    <w:rsid w:val="004B2775"/>
    <w:rsid w:val="004B4548"/>
    <w:rsid w:val="004C0C1F"/>
    <w:rsid w:val="004C352A"/>
    <w:rsid w:val="004C660B"/>
    <w:rsid w:val="004D4012"/>
    <w:rsid w:val="004F55D1"/>
    <w:rsid w:val="005002EF"/>
    <w:rsid w:val="005029A4"/>
    <w:rsid w:val="00516386"/>
    <w:rsid w:val="00523F1C"/>
    <w:rsid w:val="005314DF"/>
    <w:rsid w:val="00533447"/>
    <w:rsid w:val="00545534"/>
    <w:rsid w:val="005467C4"/>
    <w:rsid w:val="00546BA6"/>
    <w:rsid w:val="00553220"/>
    <w:rsid w:val="00562611"/>
    <w:rsid w:val="005650BC"/>
    <w:rsid w:val="005653AA"/>
    <w:rsid w:val="005876E7"/>
    <w:rsid w:val="005C0919"/>
    <w:rsid w:val="005F1665"/>
    <w:rsid w:val="00605B56"/>
    <w:rsid w:val="00632CB1"/>
    <w:rsid w:val="006534EC"/>
    <w:rsid w:val="00692044"/>
    <w:rsid w:val="006A42D1"/>
    <w:rsid w:val="006D644E"/>
    <w:rsid w:val="006E2F8E"/>
    <w:rsid w:val="00702907"/>
    <w:rsid w:val="00733DE9"/>
    <w:rsid w:val="00734405"/>
    <w:rsid w:val="00760744"/>
    <w:rsid w:val="00760953"/>
    <w:rsid w:val="00784767"/>
    <w:rsid w:val="0079116C"/>
    <w:rsid w:val="007A3E8B"/>
    <w:rsid w:val="007A7B90"/>
    <w:rsid w:val="007C48D6"/>
    <w:rsid w:val="007D782E"/>
    <w:rsid w:val="007E2C61"/>
    <w:rsid w:val="007E32D2"/>
    <w:rsid w:val="00813A8F"/>
    <w:rsid w:val="0081404F"/>
    <w:rsid w:val="00817A3E"/>
    <w:rsid w:val="0082698D"/>
    <w:rsid w:val="0083689C"/>
    <w:rsid w:val="00846C37"/>
    <w:rsid w:val="00864C4E"/>
    <w:rsid w:val="00866B1B"/>
    <w:rsid w:val="0087351C"/>
    <w:rsid w:val="00875657"/>
    <w:rsid w:val="0089053B"/>
    <w:rsid w:val="008A2453"/>
    <w:rsid w:val="008A486E"/>
    <w:rsid w:val="008C2224"/>
    <w:rsid w:val="008C5D4D"/>
    <w:rsid w:val="008D7418"/>
    <w:rsid w:val="009273F1"/>
    <w:rsid w:val="00927ADE"/>
    <w:rsid w:val="009313DB"/>
    <w:rsid w:val="009329A7"/>
    <w:rsid w:val="00943B0E"/>
    <w:rsid w:val="009478A6"/>
    <w:rsid w:val="00952B66"/>
    <w:rsid w:val="009654D5"/>
    <w:rsid w:val="00967C23"/>
    <w:rsid w:val="00984FA5"/>
    <w:rsid w:val="009A0542"/>
    <w:rsid w:val="009A3C02"/>
    <w:rsid w:val="009C01E5"/>
    <w:rsid w:val="009D39D8"/>
    <w:rsid w:val="009E2439"/>
    <w:rsid w:val="009F6163"/>
    <w:rsid w:val="00A05E14"/>
    <w:rsid w:val="00A13E30"/>
    <w:rsid w:val="00A17738"/>
    <w:rsid w:val="00A52A9D"/>
    <w:rsid w:val="00A83B15"/>
    <w:rsid w:val="00A9482F"/>
    <w:rsid w:val="00A97E76"/>
    <w:rsid w:val="00AA6228"/>
    <w:rsid w:val="00AC28AD"/>
    <w:rsid w:val="00AD1A71"/>
    <w:rsid w:val="00AD7E8B"/>
    <w:rsid w:val="00AF107B"/>
    <w:rsid w:val="00AF29E0"/>
    <w:rsid w:val="00B07264"/>
    <w:rsid w:val="00B07C66"/>
    <w:rsid w:val="00B15512"/>
    <w:rsid w:val="00B21B95"/>
    <w:rsid w:val="00B5008C"/>
    <w:rsid w:val="00B52B6B"/>
    <w:rsid w:val="00B83395"/>
    <w:rsid w:val="00B87EB7"/>
    <w:rsid w:val="00BC71ED"/>
    <w:rsid w:val="00C003B5"/>
    <w:rsid w:val="00C139DE"/>
    <w:rsid w:val="00C20162"/>
    <w:rsid w:val="00C2297A"/>
    <w:rsid w:val="00C35BBE"/>
    <w:rsid w:val="00C44E71"/>
    <w:rsid w:val="00C70799"/>
    <w:rsid w:val="00C73AB8"/>
    <w:rsid w:val="00C8009C"/>
    <w:rsid w:val="00C86DD7"/>
    <w:rsid w:val="00C950C9"/>
    <w:rsid w:val="00CA5D74"/>
    <w:rsid w:val="00CB40A5"/>
    <w:rsid w:val="00CC75BD"/>
    <w:rsid w:val="00CC79AA"/>
    <w:rsid w:val="00CD7FD9"/>
    <w:rsid w:val="00CE08A8"/>
    <w:rsid w:val="00CE7DF6"/>
    <w:rsid w:val="00CF6965"/>
    <w:rsid w:val="00D04B83"/>
    <w:rsid w:val="00D0675C"/>
    <w:rsid w:val="00D25D35"/>
    <w:rsid w:val="00D523EF"/>
    <w:rsid w:val="00D557DC"/>
    <w:rsid w:val="00D66827"/>
    <w:rsid w:val="00D97E0A"/>
    <w:rsid w:val="00DA16FE"/>
    <w:rsid w:val="00DB0D5E"/>
    <w:rsid w:val="00DC1EF6"/>
    <w:rsid w:val="00DC774A"/>
    <w:rsid w:val="00DD31C5"/>
    <w:rsid w:val="00DD4D0F"/>
    <w:rsid w:val="00DD6D2E"/>
    <w:rsid w:val="00DE3C82"/>
    <w:rsid w:val="00E24C02"/>
    <w:rsid w:val="00E27C83"/>
    <w:rsid w:val="00E35E86"/>
    <w:rsid w:val="00E41A31"/>
    <w:rsid w:val="00E544D2"/>
    <w:rsid w:val="00E569A6"/>
    <w:rsid w:val="00E6198D"/>
    <w:rsid w:val="00E66C3E"/>
    <w:rsid w:val="00E741AB"/>
    <w:rsid w:val="00E85439"/>
    <w:rsid w:val="00E93984"/>
    <w:rsid w:val="00EB274B"/>
    <w:rsid w:val="00F347C5"/>
    <w:rsid w:val="00F36791"/>
    <w:rsid w:val="00F4492C"/>
    <w:rsid w:val="00F50445"/>
    <w:rsid w:val="00F5368A"/>
    <w:rsid w:val="00F7127B"/>
    <w:rsid w:val="00F75A79"/>
    <w:rsid w:val="00FB74D1"/>
    <w:rsid w:val="00FD0BAC"/>
    <w:rsid w:val="00FD42D3"/>
    <w:rsid w:val="00FD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3B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632CB1"/>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632CB1"/>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632CB1"/>
    <w:pPr>
      <w:numPr>
        <w:ilvl w:val="2"/>
      </w:numPr>
      <w:ind w:right="432"/>
    </w:pPr>
  </w:style>
  <w:style w:type="character" w:customStyle="1" w:styleId="hsr3Char">
    <w:name w:val="hsr 3 Char"/>
    <w:basedOn w:val="ListParagraphChar"/>
    <w:link w:val="hsr3"/>
    <w:rsid w:val="00632CB1"/>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DE3C82"/>
    <w:pPr>
      <w:tabs>
        <w:tab w:val="left" w:pos="547"/>
      </w:tabs>
      <w:ind w:left="1267" w:right="360" w:hanging="360"/>
    </w:pPr>
  </w:style>
  <w:style w:type="character" w:customStyle="1" w:styleId="123ListChar">
    <w:name w:val="123 List Char"/>
    <w:basedOn w:val="ListParagraphChar"/>
    <w:link w:val="123List"/>
    <w:rsid w:val="00DE3C82"/>
  </w:style>
  <w:style w:type="paragraph" w:customStyle="1" w:styleId="123ListBullet">
    <w:name w:val="123 List Bullet"/>
    <w:basedOn w:val="Bullet"/>
    <w:link w:val="123ListBulletChar"/>
    <w:qFormat/>
    <w:rsid w:val="00DE3C82"/>
    <w:pPr>
      <w:ind w:left="2376"/>
    </w:pPr>
  </w:style>
  <w:style w:type="paragraph" w:customStyle="1" w:styleId="123ListBulletSub">
    <w:name w:val="123 List Bullet Sub"/>
    <w:basedOn w:val="BulletSub"/>
    <w:link w:val="123ListBulletSubChar"/>
    <w:qFormat/>
    <w:rsid w:val="00DE3C82"/>
    <w:pPr>
      <w:ind w:left="2664"/>
    </w:pPr>
  </w:style>
  <w:style w:type="character" w:customStyle="1" w:styleId="123ListBulletChar">
    <w:name w:val="123 List Bullet Char"/>
    <w:basedOn w:val="BulletChar"/>
    <w:link w:val="123ListBullet"/>
    <w:rsid w:val="00DE3C82"/>
  </w:style>
  <w:style w:type="paragraph" w:customStyle="1" w:styleId="123ListBulletSubSub">
    <w:name w:val="123 List Bullet Sub Sub"/>
    <w:basedOn w:val="BulletSubSub"/>
    <w:link w:val="123ListBulletSubSubChar"/>
    <w:qFormat/>
    <w:rsid w:val="00DE3C82"/>
    <w:pPr>
      <w:ind w:left="2448"/>
    </w:pPr>
  </w:style>
  <w:style w:type="character" w:customStyle="1" w:styleId="123ListBulletSubChar">
    <w:name w:val="123 List Bullet Sub Char"/>
    <w:basedOn w:val="BulletSubChar"/>
    <w:link w:val="123ListBulletSub"/>
    <w:rsid w:val="00DE3C82"/>
    <w:rPr>
      <w:bCs/>
    </w:rPr>
  </w:style>
  <w:style w:type="character" w:customStyle="1" w:styleId="123ListBulletSubSubChar">
    <w:name w:val="123 List Bullet Sub Sub Char"/>
    <w:basedOn w:val="BulletSubSubChar"/>
    <w:link w:val="123ListBulletSubSub"/>
    <w:rsid w:val="00DE3C82"/>
  </w:style>
  <w:style w:type="character" w:customStyle="1" w:styleId="apple-converted-space">
    <w:name w:val="apple-converted-space"/>
    <w:basedOn w:val="DefaultParagraphFont"/>
    <w:rsid w:val="00DE3C82"/>
  </w:style>
  <w:style w:type="paragraph" w:customStyle="1" w:styleId="statutory-body">
    <w:name w:val="statutory-body"/>
    <w:basedOn w:val="Normal"/>
    <w:rsid w:val="00DE3C82"/>
    <w:pPr>
      <w:spacing w:before="100" w:beforeAutospacing="1" w:after="100" w:afterAutospacing="1"/>
    </w:pPr>
    <w:rPr>
      <w:rFonts w:ascii="Times New Roman" w:eastAsia="Times New Roman" w:hAnsi="Times New Roman" w:cs="Times New Roman"/>
      <w:sz w:val="24"/>
      <w:szCs w:val="24"/>
    </w:rPr>
  </w:style>
  <w:style w:type="paragraph" w:customStyle="1" w:styleId="statutory-body-1em">
    <w:name w:val="statutory-body-1em"/>
    <w:basedOn w:val="Normal"/>
    <w:rsid w:val="00DE3C8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32CB1"/>
    <w:rPr>
      <w:sz w:val="16"/>
      <w:szCs w:val="16"/>
    </w:rPr>
  </w:style>
  <w:style w:type="paragraph" w:styleId="CommentText">
    <w:name w:val="annotation text"/>
    <w:basedOn w:val="Normal"/>
    <w:link w:val="CommentTextChar"/>
    <w:uiPriority w:val="99"/>
    <w:semiHidden/>
    <w:unhideWhenUsed/>
    <w:rsid w:val="00632CB1"/>
    <w:rPr>
      <w:sz w:val="20"/>
      <w:szCs w:val="20"/>
    </w:rPr>
  </w:style>
  <w:style w:type="character" w:customStyle="1" w:styleId="CommentTextChar">
    <w:name w:val="Comment Text Char"/>
    <w:basedOn w:val="DefaultParagraphFont"/>
    <w:link w:val="CommentText"/>
    <w:uiPriority w:val="99"/>
    <w:semiHidden/>
    <w:rsid w:val="00632CB1"/>
    <w:rPr>
      <w:sz w:val="20"/>
      <w:szCs w:val="20"/>
    </w:rPr>
  </w:style>
  <w:style w:type="paragraph" w:styleId="CommentSubject">
    <w:name w:val="annotation subject"/>
    <w:basedOn w:val="CommentText"/>
    <w:next w:val="CommentText"/>
    <w:link w:val="CommentSubjectChar"/>
    <w:uiPriority w:val="99"/>
    <w:semiHidden/>
    <w:unhideWhenUsed/>
    <w:rsid w:val="00632CB1"/>
    <w:rPr>
      <w:b/>
      <w:bCs/>
    </w:rPr>
  </w:style>
  <w:style w:type="character" w:customStyle="1" w:styleId="CommentSubjectChar">
    <w:name w:val="Comment Subject Char"/>
    <w:basedOn w:val="CommentTextChar"/>
    <w:link w:val="CommentSubject"/>
    <w:uiPriority w:val="99"/>
    <w:semiHidden/>
    <w:rsid w:val="00632CB1"/>
    <w:rPr>
      <w:b/>
      <w:bCs/>
      <w:sz w:val="20"/>
      <w:szCs w:val="20"/>
    </w:rPr>
  </w:style>
  <w:style w:type="table" w:styleId="TableGrid">
    <w:name w:val="Table Grid"/>
    <w:basedOn w:val="TableNormal"/>
    <w:uiPriority w:val="59"/>
    <w:rsid w:val="0083689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41A31"/>
    <w:pPr>
      <w:widowControl w:val="0"/>
      <w:tabs>
        <w:tab w:val="left" w:pos="720"/>
        <w:tab w:val="left" w:pos="9720"/>
      </w:tabs>
      <w:spacing w:after="100" w:line="276" w:lineRule="auto"/>
      <w:ind w:left="440" w:hanging="440"/>
    </w:pPr>
  </w:style>
  <w:style w:type="paragraph" w:styleId="TOC1">
    <w:name w:val="toc 1"/>
    <w:basedOn w:val="Normal"/>
    <w:next w:val="Normal"/>
    <w:autoRedefine/>
    <w:uiPriority w:val="39"/>
    <w:unhideWhenUsed/>
    <w:rsid w:val="00E41A31"/>
    <w:pPr>
      <w:tabs>
        <w:tab w:val="left" w:pos="720"/>
        <w:tab w:val="right" w:pos="9810"/>
      </w:tabs>
      <w:spacing w:after="100"/>
    </w:pPr>
  </w:style>
  <w:style w:type="paragraph" w:styleId="TOC2">
    <w:name w:val="toc 2"/>
    <w:basedOn w:val="Normal"/>
    <w:next w:val="Normal"/>
    <w:autoRedefine/>
    <w:uiPriority w:val="39"/>
    <w:unhideWhenUsed/>
    <w:rsid w:val="00E41A31"/>
    <w:pPr>
      <w:tabs>
        <w:tab w:val="left" w:pos="720"/>
        <w:tab w:val="right" w:pos="9810"/>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632CB1"/>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632CB1"/>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632CB1"/>
    <w:pPr>
      <w:numPr>
        <w:ilvl w:val="2"/>
      </w:numPr>
      <w:ind w:right="432"/>
    </w:pPr>
  </w:style>
  <w:style w:type="character" w:customStyle="1" w:styleId="hsr3Char">
    <w:name w:val="hsr 3 Char"/>
    <w:basedOn w:val="ListParagraphChar"/>
    <w:link w:val="hsr3"/>
    <w:rsid w:val="00632CB1"/>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DE3C82"/>
    <w:pPr>
      <w:tabs>
        <w:tab w:val="left" w:pos="547"/>
      </w:tabs>
      <w:ind w:left="1267" w:right="360" w:hanging="360"/>
    </w:pPr>
  </w:style>
  <w:style w:type="character" w:customStyle="1" w:styleId="123ListChar">
    <w:name w:val="123 List Char"/>
    <w:basedOn w:val="ListParagraphChar"/>
    <w:link w:val="123List"/>
    <w:rsid w:val="00DE3C82"/>
  </w:style>
  <w:style w:type="paragraph" w:customStyle="1" w:styleId="123ListBullet">
    <w:name w:val="123 List Bullet"/>
    <w:basedOn w:val="Bullet"/>
    <w:link w:val="123ListBulletChar"/>
    <w:qFormat/>
    <w:rsid w:val="00DE3C82"/>
    <w:pPr>
      <w:ind w:left="2376"/>
    </w:pPr>
  </w:style>
  <w:style w:type="paragraph" w:customStyle="1" w:styleId="123ListBulletSub">
    <w:name w:val="123 List Bullet Sub"/>
    <w:basedOn w:val="BulletSub"/>
    <w:link w:val="123ListBulletSubChar"/>
    <w:qFormat/>
    <w:rsid w:val="00DE3C82"/>
    <w:pPr>
      <w:ind w:left="2664"/>
    </w:pPr>
  </w:style>
  <w:style w:type="character" w:customStyle="1" w:styleId="123ListBulletChar">
    <w:name w:val="123 List Bullet Char"/>
    <w:basedOn w:val="BulletChar"/>
    <w:link w:val="123ListBullet"/>
    <w:rsid w:val="00DE3C82"/>
  </w:style>
  <w:style w:type="paragraph" w:customStyle="1" w:styleId="123ListBulletSubSub">
    <w:name w:val="123 List Bullet Sub Sub"/>
    <w:basedOn w:val="BulletSubSub"/>
    <w:link w:val="123ListBulletSubSubChar"/>
    <w:qFormat/>
    <w:rsid w:val="00DE3C82"/>
    <w:pPr>
      <w:ind w:left="2448"/>
    </w:pPr>
  </w:style>
  <w:style w:type="character" w:customStyle="1" w:styleId="123ListBulletSubChar">
    <w:name w:val="123 List Bullet Sub Char"/>
    <w:basedOn w:val="BulletSubChar"/>
    <w:link w:val="123ListBulletSub"/>
    <w:rsid w:val="00DE3C82"/>
    <w:rPr>
      <w:bCs/>
    </w:rPr>
  </w:style>
  <w:style w:type="character" w:customStyle="1" w:styleId="123ListBulletSubSubChar">
    <w:name w:val="123 List Bullet Sub Sub Char"/>
    <w:basedOn w:val="BulletSubSubChar"/>
    <w:link w:val="123ListBulletSubSub"/>
    <w:rsid w:val="00DE3C82"/>
  </w:style>
  <w:style w:type="character" w:customStyle="1" w:styleId="apple-converted-space">
    <w:name w:val="apple-converted-space"/>
    <w:basedOn w:val="DefaultParagraphFont"/>
    <w:rsid w:val="00DE3C82"/>
  </w:style>
  <w:style w:type="paragraph" w:customStyle="1" w:styleId="statutory-body">
    <w:name w:val="statutory-body"/>
    <w:basedOn w:val="Normal"/>
    <w:rsid w:val="00DE3C82"/>
    <w:pPr>
      <w:spacing w:before="100" w:beforeAutospacing="1" w:after="100" w:afterAutospacing="1"/>
    </w:pPr>
    <w:rPr>
      <w:rFonts w:ascii="Times New Roman" w:eastAsia="Times New Roman" w:hAnsi="Times New Roman" w:cs="Times New Roman"/>
      <w:sz w:val="24"/>
      <w:szCs w:val="24"/>
    </w:rPr>
  </w:style>
  <w:style w:type="paragraph" w:customStyle="1" w:styleId="statutory-body-1em">
    <w:name w:val="statutory-body-1em"/>
    <w:basedOn w:val="Normal"/>
    <w:rsid w:val="00DE3C8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32CB1"/>
    <w:rPr>
      <w:sz w:val="16"/>
      <w:szCs w:val="16"/>
    </w:rPr>
  </w:style>
  <w:style w:type="paragraph" w:styleId="CommentText">
    <w:name w:val="annotation text"/>
    <w:basedOn w:val="Normal"/>
    <w:link w:val="CommentTextChar"/>
    <w:uiPriority w:val="99"/>
    <w:semiHidden/>
    <w:unhideWhenUsed/>
    <w:rsid w:val="00632CB1"/>
    <w:rPr>
      <w:sz w:val="20"/>
      <w:szCs w:val="20"/>
    </w:rPr>
  </w:style>
  <w:style w:type="character" w:customStyle="1" w:styleId="CommentTextChar">
    <w:name w:val="Comment Text Char"/>
    <w:basedOn w:val="DefaultParagraphFont"/>
    <w:link w:val="CommentText"/>
    <w:uiPriority w:val="99"/>
    <w:semiHidden/>
    <w:rsid w:val="00632CB1"/>
    <w:rPr>
      <w:sz w:val="20"/>
      <w:szCs w:val="20"/>
    </w:rPr>
  </w:style>
  <w:style w:type="paragraph" w:styleId="CommentSubject">
    <w:name w:val="annotation subject"/>
    <w:basedOn w:val="CommentText"/>
    <w:next w:val="CommentText"/>
    <w:link w:val="CommentSubjectChar"/>
    <w:uiPriority w:val="99"/>
    <w:semiHidden/>
    <w:unhideWhenUsed/>
    <w:rsid w:val="00632CB1"/>
    <w:rPr>
      <w:b/>
      <w:bCs/>
    </w:rPr>
  </w:style>
  <w:style w:type="character" w:customStyle="1" w:styleId="CommentSubjectChar">
    <w:name w:val="Comment Subject Char"/>
    <w:basedOn w:val="CommentTextChar"/>
    <w:link w:val="CommentSubject"/>
    <w:uiPriority w:val="99"/>
    <w:semiHidden/>
    <w:rsid w:val="00632CB1"/>
    <w:rPr>
      <w:b/>
      <w:bCs/>
      <w:sz w:val="20"/>
      <w:szCs w:val="20"/>
    </w:rPr>
  </w:style>
  <w:style w:type="table" w:styleId="TableGrid">
    <w:name w:val="Table Grid"/>
    <w:basedOn w:val="TableNormal"/>
    <w:uiPriority w:val="59"/>
    <w:rsid w:val="0083689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41A31"/>
    <w:pPr>
      <w:widowControl w:val="0"/>
      <w:tabs>
        <w:tab w:val="left" w:pos="720"/>
        <w:tab w:val="left" w:pos="9720"/>
      </w:tabs>
      <w:spacing w:after="100" w:line="276" w:lineRule="auto"/>
      <w:ind w:left="440" w:hanging="440"/>
    </w:pPr>
  </w:style>
  <w:style w:type="paragraph" w:styleId="TOC1">
    <w:name w:val="toc 1"/>
    <w:basedOn w:val="Normal"/>
    <w:next w:val="Normal"/>
    <w:autoRedefine/>
    <w:uiPriority w:val="39"/>
    <w:unhideWhenUsed/>
    <w:rsid w:val="00E41A31"/>
    <w:pPr>
      <w:tabs>
        <w:tab w:val="left" w:pos="720"/>
        <w:tab w:val="right" w:pos="9810"/>
      </w:tabs>
      <w:spacing w:after="100"/>
    </w:pPr>
  </w:style>
  <w:style w:type="paragraph" w:styleId="TOC2">
    <w:name w:val="toc 2"/>
    <w:basedOn w:val="Normal"/>
    <w:next w:val="Normal"/>
    <w:autoRedefine/>
    <w:uiPriority w:val="39"/>
    <w:unhideWhenUsed/>
    <w:rsid w:val="00E41A31"/>
    <w:pPr>
      <w:tabs>
        <w:tab w:val="left" w:pos="720"/>
        <w:tab w:val="right" w:pos="981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A3ED-7BEE-4C12-AD41-17B6C766C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E6E644-D511-42BC-9B01-95DAB586369C}">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34B2BAA-C608-4E90-A8BB-B66A0C0DCEA4}">
  <ds:schemaRefs>
    <ds:schemaRef ds:uri="http://schemas.microsoft.com/sharepoint/v3/contenttype/forms"/>
  </ds:schemaRefs>
</ds:datastoreItem>
</file>

<file path=customXml/itemProps4.xml><?xml version="1.0" encoding="utf-8"?>
<ds:datastoreItem xmlns:ds="http://schemas.openxmlformats.org/officeDocument/2006/customXml" ds:itemID="{AD0B810E-EB00-462A-AEB7-DB836556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2013-10-07T16:25:00Z</cp:lastPrinted>
  <dcterms:created xsi:type="dcterms:W3CDTF">2014-11-13T20:22:00Z</dcterms:created>
  <dcterms:modified xsi:type="dcterms:W3CDTF">2014-11-13T20:22:00Z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