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1E" w:rsidRPr="00032D5D" w:rsidRDefault="0044751E">
      <w:pPr>
        <w:pStyle w:val="Title"/>
        <w:rPr>
          <w:szCs w:val="32"/>
        </w:rPr>
      </w:pPr>
    </w:p>
    <w:p w:rsidR="0044751E" w:rsidRPr="00032D5D" w:rsidRDefault="0044751E">
      <w:pPr>
        <w:pStyle w:val="Title"/>
        <w:rPr>
          <w:szCs w:val="32"/>
        </w:rPr>
      </w:pPr>
    </w:p>
    <w:p w:rsidR="0044751E" w:rsidRPr="00A561E1" w:rsidRDefault="0044751E">
      <w:pPr>
        <w:pStyle w:val="Title"/>
        <w:rPr>
          <w:szCs w:val="32"/>
        </w:rPr>
      </w:pPr>
      <w:r w:rsidRPr="00A561E1">
        <w:rPr>
          <w:szCs w:val="32"/>
        </w:rPr>
        <w:t>FEDERAL TRANSIT ADMINISTRATION</w:t>
      </w:r>
    </w:p>
    <w:p w:rsidR="0044751E" w:rsidRPr="00A561E1" w:rsidRDefault="0044751E">
      <w:pPr>
        <w:pStyle w:val="Title"/>
        <w:rPr>
          <w:szCs w:val="32"/>
        </w:rPr>
      </w:pPr>
    </w:p>
    <w:p w:rsidR="0044751E" w:rsidRPr="00A561E1" w:rsidRDefault="0044751E">
      <w:pPr>
        <w:pStyle w:val="Title"/>
        <w:rPr>
          <w:szCs w:val="32"/>
        </w:rPr>
      </w:pPr>
      <w:r w:rsidRPr="00A561E1">
        <w:rPr>
          <w:szCs w:val="32"/>
        </w:rPr>
        <w:t>PROJECT MANAGEMENT OVERSIGHT PROGRAM</w:t>
      </w:r>
    </w:p>
    <w:p w:rsidR="0044751E" w:rsidRPr="00A561E1" w:rsidRDefault="0044751E">
      <w:pPr>
        <w:pStyle w:val="Title"/>
        <w:rPr>
          <w:szCs w:val="32"/>
        </w:rPr>
      </w:pPr>
    </w:p>
    <w:p w:rsidR="0044751E" w:rsidRPr="00A561E1" w:rsidRDefault="0044751E">
      <w:pPr>
        <w:pStyle w:val="Title"/>
        <w:rPr>
          <w:szCs w:val="32"/>
        </w:rPr>
      </w:pPr>
    </w:p>
    <w:p w:rsidR="0044751E" w:rsidRPr="00A561E1" w:rsidRDefault="0044751E">
      <w:pPr>
        <w:pStyle w:val="Title"/>
        <w:rPr>
          <w:szCs w:val="32"/>
        </w:rPr>
      </w:pPr>
    </w:p>
    <w:p w:rsidR="0044751E" w:rsidRPr="00A561E1" w:rsidRDefault="0044751E">
      <w:pPr>
        <w:pStyle w:val="Title"/>
        <w:rPr>
          <w:szCs w:val="32"/>
        </w:rPr>
      </w:pPr>
    </w:p>
    <w:p w:rsidR="0044751E" w:rsidRPr="00A561E1" w:rsidRDefault="0044751E">
      <w:pPr>
        <w:pStyle w:val="Title"/>
      </w:pPr>
      <w:r w:rsidRPr="00A561E1">
        <w:t>Contract No. DTFT60-04-D-00015</w:t>
      </w:r>
    </w:p>
    <w:p w:rsidR="0044751E" w:rsidRPr="00A561E1" w:rsidRDefault="0044751E">
      <w:pPr>
        <w:pStyle w:val="Title"/>
      </w:pPr>
      <w:r w:rsidRPr="00A561E1">
        <w:t>Project No. DC-27-5037</w:t>
      </w:r>
    </w:p>
    <w:p w:rsidR="0044751E" w:rsidRPr="00A561E1" w:rsidRDefault="0044751E">
      <w:pPr>
        <w:pStyle w:val="Title"/>
        <w:rPr>
          <w:szCs w:val="32"/>
        </w:rPr>
      </w:pPr>
      <w:r w:rsidRPr="00A561E1">
        <w:t>Task Order No. 9</w:t>
      </w:r>
    </w:p>
    <w:p w:rsidR="0044751E" w:rsidRPr="00A561E1" w:rsidRDefault="0044751E">
      <w:pPr>
        <w:pStyle w:val="Title"/>
        <w:rPr>
          <w:szCs w:val="32"/>
        </w:rPr>
      </w:pPr>
    </w:p>
    <w:p w:rsidR="0044751E" w:rsidRPr="00A561E1" w:rsidRDefault="0044751E">
      <w:pPr>
        <w:pStyle w:val="Title"/>
        <w:rPr>
          <w:szCs w:val="32"/>
        </w:rPr>
      </w:pPr>
    </w:p>
    <w:p w:rsidR="0044751E" w:rsidRPr="00A561E1" w:rsidRDefault="0044751E">
      <w:pPr>
        <w:pStyle w:val="Title"/>
        <w:rPr>
          <w:szCs w:val="32"/>
        </w:rPr>
      </w:pPr>
      <w:r w:rsidRPr="00A561E1">
        <w:rPr>
          <w:szCs w:val="32"/>
        </w:rPr>
        <w:t xml:space="preserve">CLIN 0005:  </w:t>
      </w:r>
    </w:p>
    <w:p w:rsidR="00A53F95" w:rsidRPr="00A561E1" w:rsidRDefault="00A53F95" w:rsidP="00A53F95">
      <w:pPr>
        <w:pStyle w:val="Title"/>
        <w:rPr>
          <w:szCs w:val="32"/>
        </w:rPr>
      </w:pPr>
      <w:r w:rsidRPr="00A561E1">
        <w:rPr>
          <w:szCs w:val="32"/>
        </w:rPr>
        <w:t>Readiness Report to Amend the Full Funding Grant Agreement</w:t>
      </w:r>
    </w:p>
    <w:p w:rsidR="0044751E" w:rsidRPr="00A561E1" w:rsidRDefault="0044751E">
      <w:pPr>
        <w:pStyle w:val="Title"/>
        <w:rPr>
          <w:szCs w:val="32"/>
        </w:rPr>
      </w:pPr>
    </w:p>
    <w:p w:rsidR="00A53F95" w:rsidRPr="00A561E1" w:rsidRDefault="00A53F95">
      <w:pPr>
        <w:pStyle w:val="Title"/>
        <w:rPr>
          <w:szCs w:val="32"/>
        </w:rPr>
      </w:pPr>
    </w:p>
    <w:p w:rsidR="0044751E" w:rsidRPr="00A561E1" w:rsidRDefault="0044751E">
      <w:pPr>
        <w:pStyle w:val="Title"/>
        <w:rPr>
          <w:szCs w:val="32"/>
        </w:rPr>
      </w:pPr>
    </w:p>
    <w:p w:rsidR="0044751E" w:rsidRPr="00A561E1" w:rsidRDefault="0044751E">
      <w:pPr>
        <w:pStyle w:val="Title"/>
        <w:rPr>
          <w:szCs w:val="32"/>
        </w:rPr>
      </w:pPr>
      <w:bookmarkStart w:id="0" w:name="_GoBack"/>
      <w:bookmarkEnd w:id="0"/>
    </w:p>
    <w:p w:rsidR="0044751E" w:rsidRPr="00A561E1" w:rsidRDefault="0044751E">
      <w:pPr>
        <w:pStyle w:val="Title"/>
        <w:rPr>
          <w:szCs w:val="32"/>
        </w:rPr>
      </w:pPr>
    </w:p>
    <w:p w:rsidR="0044751E" w:rsidRPr="00A561E1" w:rsidRDefault="0044751E">
      <w:pPr>
        <w:pStyle w:val="Title"/>
        <w:rPr>
          <w:szCs w:val="32"/>
        </w:rPr>
      </w:pPr>
      <w:r w:rsidRPr="00A561E1">
        <w:rPr>
          <w:szCs w:val="32"/>
        </w:rPr>
        <w:t xml:space="preserve">Grantee:  </w:t>
      </w:r>
      <w:r w:rsidRPr="00A561E1">
        <w:t>North County Transit District (NCTD)</w:t>
      </w:r>
    </w:p>
    <w:p w:rsidR="0044751E" w:rsidRPr="00A561E1" w:rsidRDefault="0044751E">
      <w:pPr>
        <w:pStyle w:val="Title"/>
      </w:pPr>
    </w:p>
    <w:p w:rsidR="0044751E" w:rsidRPr="00A561E1" w:rsidRDefault="0044751E">
      <w:pPr>
        <w:pStyle w:val="Title"/>
      </w:pPr>
    </w:p>
    <w:p w:rsidR="0044751E" w:rsidRPr="00A561E1" w:rsidRDefault="0044751E">
      <w:pPr>
        <w:pStyle w:val="Title"/>
      </w:pPr>
    </w:p>
    <w:p w:rsidR="0044751E" w:rsidRPr="00A561E1" w:rsidRDefault="0044751E">
      <w:pPr>
        <w:jc w:val="center"/>
        <w:rPr>
          <w:b/>
          <w:sz w:val="48"/>
          <w:szCs w:val="48"/>
        </w:rPr>
      </w:pPr>
      <w:r w:rsidRPr="00A561E1">
        <w:rPr>
          <w:b/>
          <w:sz w:val="48"/>
          <w:szCs w:val="48"/>
        </w:rPr>
        <w:t>Oceanside-Escondido Rail Project</w:t>
      </w:r>
    </w:p>
    <w:p w:rsidR="0044751E" w:rsidRPr="00A561E1" w:rsidRDefault="0044751E">
      <w:pPr>
        <w:pStyle w:val="Title"/>
      </w:pPr>
      <w:r w:rsidRPr="00A561E1">
        <w:t xml:space="preserve">Spot Report </w:t>
      </w:r>
      <w:smartTag w:uri="urn:schemas-microsoft-com:office:smarttags" w:element="PersonName">
        <w:r w:rsidRPr="00A561E1">
          <w:t>#</w:t>
        </w:r>
      </w:smartTag>
      <w:r w:rsidRPr="00A561E1">
        <w:t xml:space="preserve">11 – Delivered </w:t>
      </w:r>
      <w:smartTag w:uri="urn:schemas-microsoft-com:office:smarttags" w:element="date">
        <w:smartTagPr>
          <w:attr w:name="Month" w:val="12"/>
          <w:attr w:name="Day" w:val="28"/>
          <w:attr w:name="Year" w:val="2007"/>
        </w:smartTagPr>
        <w:r w:rsidR="001477EF" w:rsidRPr="00A561E1">
          <w:t xml:space="preserve">December </w:t>
        </w:r>
        <w:r w:rsidR="00C2778C" w:rsidRPr="00A561E1">
          <w:t>28</w:t>
        </w:r>
        <w:r w:rsidR="00402B10" w:rsidRPr="00A561E1">
          <w:t>, 2007</w:t>
        </w:r>
      </w:smartTag>
      <w:r w:rsidRPr="00A561E1">
        <w:t xml:space="preserve"> (FINAL)</w:t>
      </w:r>
    </w:p>
    <w:p w:rsidR="0064651B" w:rsidRPr="00A561E1" w:rsidRDefault="0064651B" w:rsidP="0064651B">
      <w:pPr>
        <w:pStyle w:val="Title"/>
      </w:pPr>
    </w:p>
    <w:p w:rsidR="0044751E" w:rsidRPr="00A561E1" w:rsidRDefault="0044751E">
      <w:pPr>
        <w:pBdr>
          <w:top w:val="single" w:sz="6" w:space="1" w:color="auto"/>
        </w:pBdr>
      </w:pPr>
    </w:p>
    <w:p w:rsidR="0044751E" w:rsidRPr="00A561E1" w:rsidRDefault="0044751E">
      <w:pPr>
        <w:rPr>
          <w:b/>
          <w:bCs/>
        </w:rPr>
      </w:pPr>
      <w:r w:rsidRPr="00A561E1">
        <w:rPr>
          <w:b/>
          <w:bCs/>
        </w:rPr>
        <w:t>Jacobs</w:t>
      </w:r>
    </w:p>
    <w:p w:rsidR="0044751E" w:rsidRPr="00A561E1" w:rsidRDefault="0044751E">
      <w:pPr>
        <w:rPr>
          <w:b/>
          <w:bCs/>
        </w:rPr>
      </w:pPr>
      <w:r w:rsidRPr="00A561E1">
        <w:rPr>
          <w:b/>
          <w:bCs/>
        </w:rPr>
        <w:t>6688 North Central Expressway</w:t>
      </w:r>
    </w:p>
    <w:p w:rsidR="0044751E" w:rsidRPr="00A561E1" w:rsidRDefault="0044751E">
      <w:pPr>
        <w:rPr>
          <w:b/>
          <w:bCs/>
        </w:rPr>
      </w:pPr>
      <w:smartTag w:uri="urn:schemas-microsoft-com:office:smarttags" w:element="address">
        <w:smartTag w:uri="urn:schemas-microsoft-com:office:smarttags" w:element="Street">
          <w:r w:rsidRPr="00A561E1">
            <w:rPr>
              <w:b/>
              <w:bCs/>
            </w:rPr>
            <w:t>Suite</w:t>
          </w:r>
        </w:smartTag>
        <w:r w:rsidRPr="00A561E1">
          <w:rPr>
            <w:b/>
            <w:bCs/>
          </w:rPr>
          <w:t xml:space="preserve"> 400</w:t>
        </w:r>
      </w:smartTag>
      <w:r w:rsidRPr="00A561E1">
        <w:rPr>
          <w:b/>
          <w:bCs/>
        </w:rPr>
        <w:t xml:space="preserve"> MB13</w:t>
      </w:r>
    </w:p>
    <w:p w:rsidR="0044751E" w:rsidRPr="00A561E1" w:rsidRDefault="0044751E">
      <w:pPr>
        <w:rPr>
          <w:b/>
        </w:rPr>
        <w:sectPr w:rsidR="0044751E" w:rsidRPr="00A561E1">
          <w:headerReference w:type="even" r:id="rId8"/>
          <w:headerReference w:type="default" r:id="rId9"/>
          <w:footerReference w:type="default" r:id="rId10"/>
          <w:pgSz w:w="12240" w:h="15840" w:code="1"/>
          <w:pgMar w:top="1440" w:right="1440" w:bottom="1728" w:left="1440" w:header="720" w:footer="720" w:gutter="0"/>
          <w:pgNumType w:fmt="lowerRoman" w:start="1"/>
          <w:cols w:space="720"/>
          <w:titlePg/>
          <w:docGrid w:linePitch="360"/>
        </w:sectPr>
      </w:pPr>
      <w:smartTag w:uri="urn:schemas-microsoft-com:office:smarttags" w:element="place">
        <w:smartTag w:uri="urn:schemas-microsoft-com:office:smarttags" w:element="City">
          <w:r w:rsidRPr="00A561E1">
            <w:rPr>
              <w:b/>
              <w:bCs/>
            </w:rPr>
            <w:t>Dallas</w:t>
          </w:r>
        </w:smartTag>
        <w:r w:rsidRPr="00A561E1">
          <w:rPr>
            <w:b/>
            <w:bCs/>
          </w:rPr>
          <w:t xml:space="preserve">, </w:t>
        </w:r>
        <w:smartTag w:uri="urn:schemas-microsoft-com:office:smarttags" w:element="State">
          <w:r w:rsidRPr="00A561E1">
            <w:rPr>
              <w:b/>
              <w:bCs/>
            </w:rPr>
            <w:t>Texas</w:t>
          </w:r>
        </w:smartTag>
        <w:r w:rsidRPr="00A561E1">
          <w:rPr>
            <w:b/>
            <w:bCs/>
          </w:rPr>
          <w:t xml:space="preserve"> </w:t>
        </w:r>
        <w:smartTag w:uri="urn:schemas-microsoft-com:office:smarttags" w:element="PostalCode">
          <w:r w:rsidRPr="00A561E1">
            <w:rPr>
              <w:b/>
              <w:bCs/>
            </w:rPr>
            <w:t>75206-3914</w:t>
          </w:r>
        </w:smartTag>
      </w:smartTag>
    </w:p>
    <w:p w:rsidR="0044751E" w:rsidRPr="00A561E1" w:rsidRDefault="0044751E">
      <w:pPr>
        <w:pStyle w:val="Heading1"/>
        <w:rPr>
          <w:bCs/>
        </w:rPr>
      </w:pPr>
      <w:bookmarkStart w:id="1" w:name="_Toc25641979"/>
      <w:bookmarkStart w:id="2" w:name="_Toc186615013"/>
      <w:r w:rsidRPr="00A561E1">
        <w:rPr>
          <w:bCs/>
        </w:rPr>
        <w:lastRenderedPageBreak/>
        <w:t>TABLE OF CONTENTS</w:t>
      </w:r>
      <w:bookmarkEnd w:id="1"/>
      <w:bookmarkEnd w:id="2"/>
    </w:p>
    <w:p w:rsidR="00F03E33" w:rsidRDefault="0044751E">
      <w:pPr>
        <w:pStyle w:val="TOC1"/>
        <w:rPr>
          <w:b w:val="0"/>
          <w:szCs w:val="24"/>
        </w:rPr>
      </w:pPr>
      <w:r w:rsidRPr="00A561E1">
        <w:fldChar w:fldCharType="begin"/>
      </w:r>
      <w:r w:rsidRPr="00A561E1">
        <w:instrText xml:space="preserve"> TOC \o "1-3" \h \z \u </w:instrText>
      </w:r>
      <w:r w:rsidRPr="00A561E1">
        <w:fldChar w:fldCharType="separate"/>
      </w:r>
      <w:hyperlink w:anchor="_Toc186615013" w:history="1">
        <w:r w:rsidR="00F03E33" w:rsidRPr="001806A5">
          <w:rPr>
            <w:rStyle w:val="Hyperlink"/>
            <w:bCs/>
          </w:rPr>
          <w:t>TABLE OF CONTENTS</w:t>
        </w:r>
        <w:r w:rsidR="00F03E33">
          <w:rPr>
            <w:webHidden/>
          </w:rPr>
          <w:tab/>
        </w:r>
        <w:r w:rsidR="00F03E33">
          <w:rPr>
            <w:webHidden/>
          </w:rPr>
          <w:fldChar w:fldCharType="begin"/>
        </w:r>
        <w:r w:rsidR="00F03E33">
          <w:rPr>
            <w:webHidden/>
          </w:rPr>
          <w:instrText xml:space="preserve"> PAGEREF _Toc186615013 \h </w:instrText>
        </w:r>
        <w:r w:rsidR="00F03E33">
          <w:rPr>
            <w:webHidden/>
          </w:rPr>
        </w:r>
        <w:r w:rsidR="00F03E33">
          <w:rPr>
            <w:webHidden/>
          </w:rPr>
          <w:fldChar w:fldCharType="separate"/>
        </w:r>
        <w:r w:rsidR="00F01E8C">
          <w:rPr>
            <w:webHidden/>
          </w:rPr>
          <w:t>i</w:t>
        </w:r>
        <w:r w:rsidR="00F03E33">
          <w:rPr>
            <w:webHidden/>
          </w:rPr>
          <w:fldChar w:fldCharType="end"/>
        </w:r>
      </w:hyperlink>
    </w:p>
    <w:p w:rsidR="00F03E33" w:rsidRDefault="007F6397">
      <w:pPr>
        <w:pStyle w:val="TOC1"/>
        <w:rPr>
          <w:b w:val="0"/>
          <w:szCs w:val="24"/>
        </w:rPr>
      </w:pPr>
      <w:hyperlink w:anchor="_Toc186615014" w:history="1">
        <w:r w:rsidR="00F03E33" w:rsidRPr="001806A5">
          <w:rPr>
            <w:rStyle w:val="Hyperlink"/>
            <w:bCs/>
          </w:rPr>
          <w:t>LIST OF TABLES</w:t>
        </w:r>
        <w:r w:rsidR="00F03E33">
          <w:rPr>
            <w:webHidden/>
          </w:rPr>
          <w:tab/>
        </w:r>
        <w:r w:rsidR="00F03E33">
          <w:rPr>
            <w:webHidden/>
          </w:rPr>
          <w:fldChar w:fldCharType="begin"/>
        </w:r>
        <w:r w:rsidR="00F03E33">
          <w:rPr>
            <w:webHidden/>
          </w:rPr>
          <w:instrText xml:space="preserve"> PAGEREF _Toc186615014 \h </w:instrText>
        </w:r>
        <w:r w:rsidR="00F03E33">
          <w:rPr>
            <w:webHidden/>
          </w:rPr>
        </w:r>
        <w:r w:rsidR="00F03E33">
          <w:rPr>
            <w:webHidden/>
          </w:rPr>
          <w:fldChar w:fldCharType="separate"/>
        </w:r>
        <w:r w:rsidR="00F01E8C">
          <w:rPr>
            <w:webHidden/>
          </w:rPr>
          <w:t>ii</w:t>
        </w:r>
        <w:r w:rsidR="00F03E33">
          <w:rPr>
            <w:webHidden/>
          </w:rPr>
          <w:fldChar w:fldCharType="end"/>
        </w:r>
      </w:hyperlink>
    </w:p>
    <w:p w:rsidR="00F03E33" w:rsidRDefault="007F6397">
      <w:pPr>
        <w:pStyle w:val="TOC1"/>
        <w:rPr>
          <w:b w:val="0"/>
          <w:szCs w:val="24"/>
        </w:rPr>
      </w:pPr>
      <w:hyperlink w:anchor="_Toc186615015" w:history="1">
        <w:r w:rsidR="00F03E33" w:rsidRPr="001806A5">
          <w:rPr>
            <w:rStyle w:val="Hyperlink"/>
            <w:bCs/>
          </w:rPr>
          <w:t>LIST OF FIGURES</w:t>
        </w:r>
        <w:r w:rsidR="00F03E33">
          <w:rPr>
            <w:webHidden/>
          </w:rPr>
          <w:tab/>
        </w:r>
        <w:r w:rsidR="00F03E33">
          <w:rPr>
            <w:webHidden/>
          </w:rPr>
          <w:fldChar w:fldCharType="begin"/>
        </w:r>
        <w:r w:rsidR="00F03E33">
          <w:rPr>
            <w:webHidden/>
          </w:rPr>
          <w:instrText xml:space="preserve"> PAGEREF _Toc186615015 \h </w:instrText>
        </w:r>
        <w:r w:rsidR="00F03E33">
          <w:rPr>
            <w:webHidden/>
          </w:rPr>
        </w:r>
        <w:r w:rsidR="00F03E33">
          <w:rPr>
            <w:webHidden/>
          </w:rPr>
          <w:fldChar w:fldCharType="separate"/>
        </w:r>
        <w:r w:rsidR="00F01E8C">
          <w:rPr>
            <w:webHidden/>
          </w:rPr>
          <w:t>ii</w:t>
        </w:r>
        <w:r w:rsidR="00F03E33">
          <w:rPr>
            <w:webHidden/>
          </w:rPr>
          <w:fldChar w:fldCharType="end"/>
        </w:r>
      </w:hyperlink>
    </w:p>
    <w:p w:rsidR="00F03E33" w:rsidRDefault="007F6397">
      <w:pPr>
        <w:pStyle w:val="TOC1"/>
        <w:rPr>
          <w:b w:val="0"/>
          <w:szCs w:val="24"/>
        </w:rPr>
      </w:pPr>
      <w:hyperlink w:anchor="_Toc186615016" w:history="1">
        <w:r w:rsidR="00F03E33" w:rsidRPr="001806A5">
          <w:rPr>
            <w:rStyle w:val="Hyperlink"/>
          </w:rPr>
          <w:t>LIST OF APPENDICES</w:t>
        </w:r>
        <w:r w:rsidR="00F03E33">
          <w:rPr>
            <w:webHidden/>
          </w:rPr>
          <w:tab/>
        </w:r>
        <w:r w:rsidR="00F03E33">
          <w:rPr>
            <w:webHidden/>
          </w:rPr>
          <w:fldChar w:fldCharType="begin"/>
        </w:r>
        <w:r w:rsidR="00F03E33">
          <w:rPr>
            <w:webHidden/>
          </w:rPr>
          <w:instrText xml:space="preserve"> PAGEREF _Toc186615016 \h </w:instrText>
        </w:r>
        <w:r w:rsidR="00F03E33">
          <w:rPr>
            <w:webHidden/>
          </w:rPr>
        </w:r>
        <w:r w:rsidR="00F03E33">
          <w:rPr>
            <w:webHidden/>
          </w:rPr>
          <w:fldChar w:fldCharType="separate"/>
        </w:r>
        <w:r w:rsidR="00F01E8C">
          <w:rPr>
            <w:webHidden/>
          </w:rPr>
          <w:t>ii</w:t>
        </w:r>
        <w:r w:rsidR="00F03E33">
          <w:rPr>
            <w:webHidden/>
          </w:rPr>
          <w:fldChar w:fldCharType="end"/>
        </w:r>
      </w:hyperlink>
    </w:p>
    <w:p w:rsidR="00F03E33" w:rsidRDefault="007F6397">
      <w:pPr>
        <w:pStyle w:val="TOC1"/>
        <w:rPr>
          <w:b w:val="0"/>
          <w:szCs w:val="24"/>
        </w:rPr>
      </w:pPr>
      <w:hyperlink w:anchor="_Toc186615017" w:history="1">
        <w:r w:rsidR="00F03E33" w:rsidRPr="001806A5">
          <w:rPr>
            <w:rStyle w:val="Hyperlink"/>
            <w:bCs/>
          </w:rPr>
          <w:t>LIST OF ACRONYMS</w:t>
        </w:r>
        <w:r w:rsidR="00F03E33">
          <w:rPr>
            <w:webHidden/>
          </w:rPr>
          <w:tab/>
        </w:r>
        <w:r w:rsidR="00F03E33">
          <w:rPr>
            <w:webHidden/>
          </w:rPr>
          <w:fldChar w:fldCharType="begin"/>
        </w:r>
        <w:r w:rsidR="00F03E33">
          <w:rPr>
            <w:webHidden/>
          </w:rPr>
          <w:instrText xml:space="preserve"> PAGEREF _Toc186615017 \h </w:instrText>
        </w:r>
        <w:r w:rsidR="00F03E33">
          <w:rPr>
            <w:webHidden/>
          </w:rPr>
        </w:r>
        <w:r w:rsidR="00F03E33">
          <w:rPr>
            <w:webHidden/>
          </w:rPr>
          <w:fldChar w:fldCharType="separate"/>
        </w:r>
        <w:r w:rsidR="00F01E8C">
          <w:rPr>
            <w:webHidden/>
          </w:rPr>
          <w:t>iii</w:t>
        </w:r>
        <w:r w:rsidR="00F03E33">
          <w:rPr>
            <w:webHidden/>
          </w:rPr>
          <w:fldChar w:fldCharType="end"/>
        </w:r>
      </w:hyperlink>
    </w:p>
    <w:p w:rsidR="00F03E33" w:rsidRDefault="007F6397">
      <w:pPr>
        <w:pStyle w:val="TOC1"/>
        <w:rPr>
          <w:b w:val="0"/>
          <w:szCs w:val="24"/>
        </w:rPr>
      </w:pPr>
      <w:hyperlink w:anchor="_Toc186615018" w:history="1">
        <w:r w:rsidR="00F03E33" w:rsidRPr="001806A5">
          <w:rPr>
            <w:rStyle w:val="Hyperlink"/>
          </w:rPr>
          <w:t>EXECUTIVE SUMMARY</w:t>
        </w:r>
        <w:r w:rsidR="00F03E33">
          <w:rPr>
            <w:webHidden/>
          </w:rPr>
          <w:tab/>
        </w:r>
        <w:r w:rsidR="00F03E33">
          <w:rPr>
            <w:webHidden/>
          </w:rPr>
          <w:fldChar w:fldCharType="begin"/>
        </w:r>
        <w:r w:rsidR="00F03E33">
          <w:rPr>
            <w:webHidden/>
          </w:rPr>
          <w:instrText xml:space="preserve"> PAGEREF _Toc186615018 \h </w:instrText>
        </w:r>
        <w:r w:rsidR="00F03E33">
          <w:rPr>
            <w:webHidden/>
          </w:rPr>
        </w:r>
        <w:r w:rsidR="00F03E33">
          <w:rPr>
            <w:webHidden/>
          </w:rPr>
          <w:fldChar w:fldCharType="separate"/>
        </w:r>
        <w:r w:rsidR="00F01E8C">
          <w:rPr>
            <w:webHidden/>
          </w:rPr>
          <w:t>iv</w:t>
        </w:r>
        <w:r w:rsidR="00F03E33">
          <w:rPr>
            <w:webHidden/>
          </w:rPr>
          <w:fldChar w:fldCharType="end"/>
        </w:r>
      </w:hyperlink>
    </w:p>
    <w:p w:rsidR="00F03E33" w:rsidRDefault="007F6397">
      <w:pPr>
        <w:pStyle w:val="TOC2"/>
        <w:rPr>
          <w:b w:val="0"/>
          <w:bCs w:val="0"/>
          <w:noProof/>
        </w:rPr>
      </w:pPr>
      <w:hyperlink w:anchor="_Toc186615019" w:history="1">
        <w:r w:rsidR="00F03E33" w:rsidRPr="001806A5">
          <w:rPr>
            <w:rStyle w:val="Hyperlink"/>
            <w:noProof/>
          </w:rPr>
          <w:t>I.</w:t>
        </w:r>
        <w:r w:rsidR="00F03E33">
          <w:rPr>
            <w:b w:val="0"/>
            <w:bCs w:val="0"/>
            <w:noProof/>
          </w:rPr>
          <w:tab/>
        </w:r>
        <w:r w:rsidR="00F03E33" w:rsidRPr="001806A5">
          <w:rPr>
            <w:rStyle w:val="Hyperlink"/>
            <w:noProof/>
          </w:rPr>
          <w:t>INTRODUCTION</w:t>
        </w:r>
        <w:r w:rsidR="00F03E33">
          <w:rPr>
            <w:noProof/>
            <w:webHidden/>
          </w:rPr>
          <w:tab/>
        </w:r>
        <w:r w:rsidR="00F03E33">
          <w:rPr>
            <w:noProof/>
            <w:webHidden/>
          </w:rPr>
          <w:fldChar w:fldCharType="begin"/>
        </w:r>
        <w:r w:rsidR="00F03E33">
          <w:rPr>
            <w:noProof/>
            <w:webHidden/>
          </w:rPr>
          <w:instrText xml:space="preserve"> PAGEREF _Toc186615019 \h </w:instrText>
        </w:r>
        <w:r w:rsidR="00F03E33">
          <w:rPr>
            <w:noProof/>
            <w:webHidden/>
          </w:rPr>
        </w:r>
        <w:r w:rsidR="00F03E33">
          <w:rPr>
            <w:noProof/>
            <w:webHidden/>
          </w:rPr>
          <w:fldChar w:fldCharType="separate"/>
        </w:r>
        <w:r w:rsidR="00F01E8C">
          <w:rPr>
            <w:noProof/>
            <w:webHidden/>
          </w:rPr>
          <w:t>1</w:t>
        </w:r>
        <w:r w:rsidR="00F03E33">
          <w:rPr>
            <w:noProof/>
            <w:webHidden/>
          </w:rPr>
          <w:fldChar w:fldCharType="end"/>
        </w:r>
      </w:hyperlink>
    </w:p>
    <w:p w:rsidR="00F03E33" w:rsidRDefault="007F6397">
      <w:pPr>
        <w:pStyle w:val="TOC3"/>
        <w:tabs>
          <w:tab w:val="left" w:pos="1440"/>
        </w:tabs>
      </w:pPr>
      <w:hyperlink w:anchor="_Toc186615020" w:history="1">
        <w:r w:rsidR="00F03E33" w:rsidRPr="001806A5">
          <w:rPr>
            <w:rStyle w:val="Hyperlink"/>
          </w:rPr>
          <w:t>A.</w:t>
        </w:r>
        <w:r w:rsidR="00F03E33">
          <w:tab/>
        </w:r>
        <w:r w:rsidR="00F03E33" w:rsidRPr="001806A5">
          <w:rPr>
            <w:rStyle w:val="Hyperlink"/>
          </w:rPr>
          <w:t>Project Description</w:t>
        </w:r>
        <w:r w:rsidR="00F03E33">
          <w:rPr>
            <w:webHidden/>
          </w:rPr>
          <w:tab/>
        </w:r>
        <w:r w:rsidR="00F03E33">
          <w:rPr>
            <w:webHidden/>
          </w:rPr>
          <w:fldChar w:fldCharType="begin"/>
        </w:r>
        <w:r w:rsidR="00F03E33">
          <w:rPr>
            <w:webHidden/>
          </w:rPr>
          <w:instrText xml:space="preserve"> PAGEREF _Toc186615020 \h </w:instrText>
        </w:r>
        <w:r w:rsidR="00F03E33">
          <w:rPr>
            <w:webHidden/>
          </w:rPr>
        </w:r>
        <w:r w:rsidR="00F03E33">
          <w:rPr>
            <w:webHidden/>
          </w:rPr>
          <w:fldChar w:fldCharType="separate"/>
        </w:r>
        <w:r w:rsidR="00F01E8C">
          <w:rPr>
            <w:webHidden/>
          </w:rPr>
          <w:t>1</w:t>
        </w:r>
        <w:r w:rsidR="00F03E33">
          <w:rPr>
            <w:webHidden/>
          </w:rPr>
          <w:fldChar w:fldCharType="end"/>
        </w:r>
      </w:hyperlink>
    </w:p>
    <w:p w:rsidR="00F03E33" w:rsidRDefault="007F6397">
      <w:pPr>
        <w:pStyle w:val="TOC3"/>
        <w:tabs>
          <w:tab w:val="left" w:pos="1440"/>
        </w:tabs>
      </w:pPr>
      <w:hyperlink w:anchor="_Toc186615021" w:history="1">
        <w:r w:rsidR="00F03E33" w:rsidRPr="001806A5">
          <w:rPr>
            <w:rStyle w:val="Hyperlink"/>
          </w:rPr>
          <w:t>B.</w:t>
        </w:r>
        <w:r w:rsidR="00F03E33">
          <w:tab/>
        </w:r>
        <w:r w:rsidR="00F03E33" w:rsidRPr="001806A5">
          <w:rPr>
            <w:rStyle w:val="Hyperlink"/>
          </w:rPr>
          <w:t>Project Status</w:t>
        </w:r>
        <w:r w:rsidR="00F03E33">
          <w:rPr>
            <w:webHidden/>
          </w:rPr>
          <w:tab/>
        </w:r>
        <w:r w:rsidR="00F03E33">
          <w:rPr>
            <w:webHidden/>
          </w:rPr>
          <w:fldChar w:fldCharType="begin"/>
        </w:r>
        <w:r w:rsidR="00F03E33">
          <w:rPr>
            <w:webHidden/>
          </w:rPr>
          <w:instrText xml:space="preserve"> PAGEREF _Toc186615021 \h </w:instrText>
        </w:r>
        <w:r w:rsidR="00F03E33">
          <w:rPr>
            <w:webHidden/>
          </w:rPr>
        </w:r>
        <w:r w:rsidR="00F03E33">
          <w:rPr>
            <w:webHidden/>
          </w:rPr>
          <w:fldChar w:fldCharType="separate"/>
        </w:r>
        <w:r w:rsidR="00F01E8C">
          <w:rPr>
            <w:webHidden/>
          </w:rPr>
          <w:t>1</w:t>
        </w:r>
        <w:r w:rsidR="00F03E33">
          <w:rPr>
            <w:webHidden/>
          </w:rPr>
          <w:fldChar w:fldCharType="end"/>
        </w:r>
      </w:hyperlink>
    </w:p>
    <w:p w:rsidR="00F03E33" w:rsidRDefault="007F6397">
      <w:pPr>
        <w:pStyle w:val="TOC2"/>
        <w:rPr>
          <w:b w:val="0"/>
          <w:bCs w:val="0"/>
          <w:noProof/>
        </w:rPr>
      </w:pPr>
      <w:hyperlink w:anchor="_Toc186615022" w:history="1">
        <w:r w:rsidR="00F03E33" w:rsidRPr="001806A5">
          <w:rPr>
            <w:rStyle w:val="Hyperlink"/>
            <w:noProof/>
          </w:rPr>
          <w:t>II.</w:t>
        </w:r>
        <w:r w:rsidR="00F03E33">
          <w:rPr>
            <w:b w:val="0"/>
            <w:bCs w:val="0"/>
            <w:noProof/>
          </w:rPr>
          <w:tab/>
        </w:r>
        <w:r w:rsidR="00F03E33" w:rsidRPr="001806A5">
          <w:rPr>
            <w:rStyle w:val="Hyperlink"/>
            <w:noProof/>
          </w:rPr>
          <w:t>REVISED BUDGET AND SCHEDULE ASSESSMENT</w:t>
        </w:r>
        <w:r w:rsidR="00F03E33">
          <w:rPr>
            <w:noProof/>
            <w:webHidden/>
          </w:rPr>
          <w:tab/>
        </w:r>
        <w:r w:rsidR="00F03E33">
          <w:rPr>
            <w:noProof/>
            <w:webHidden/>
          </w:rPr>
          <w:fldChar w:fldCharType="begin"/>
        </w:r>
        <w:r w:rsidR="00F03E33">
          <w:rPr>
            <w:noProof/>
            <w:webHidden/>
          </w:rPr>
          <w:instrText xml:space="preserve"> PAGEREF _Toc186615022 \h </w:instrText>
        </w:r>
        <w:r w:rsidR="00F03E33">
          <w:rPr>
            <w:noProof/>
            <w:webHidden/>
          </w:rPr>
        </w:r>
        <w:r w:rsidR="00F03E33">
          <w:rPr>
            <w:noProof/>
            <w:webHidden/>
          </w:rPr>
          <w:fldChar w:fldCharType="separate"/>
        </w:r>
        <w:r w:rsidR="00F01E8C">
          <w:rPr>
            <w:noProof/>
            <w:webHidden/>
          </w:rPr>
          <w:t>4</w:t>
        </w:r>
        <w:r w:rsidR="00F03E33">
          <w:rPr>
            <w:noProof/>
            <w:webHidden/>
          </w:rPr>
          <w:fldChar w:fldCharType="end"/>
        </w:r>
      </w:hyperlink>
    </w:p>
    <w:p w:rsidR="00F03E33" w:rsidRDefault="007F6397">
      <w:pPr>
        <w:pStyle w:val="TOC3"/>
        <w:tabs>
          <w:tab w:val="left" w:pos="1440"/>
        </w:tabs>
      </w:pPr>
      <w:hyperlink w:anchor="_Toc186615023" w:history="1">
        <w:r w:rsidR="00F03E33" w:rsidRPr="001806A5">
          <w:rPr>
            <w:rStyle w:val="Hyperlink"/>
          </w:rPr>
          <w:t>A.</w:t>
        </w:r>
        <w:r w:rsidR="00F03E33">
          <w:tab/>
        </w:r>
        <w:r w:rsidR="00F03E33" w:rsidRPr="001806A5">
          <w:rPr>
            <w:rStyle w:val="Hyperlink"/>
          </w:rPr>
          <w:t>FFGA Budget</w:t>
        </w:r>
        <w:r w:rsidR="00F03E33">
          <w:rPr>
            <w:webHidden/>
          </w:rPr>
          <w:tab/>
        </w:r>
        <w:r w:rsidR="00F03E33">
          <w:rPr>
            <w:webHidden/>
          </w:rPr>
          <w:fldChar w:fldCharType="begin"/>
        </w:r>
        <w:r w:rsidR="00F03E33">
          <w:rPr>
            <w:webHidden/>
          </w:rPr>
          <w:instrText xml:space="preserve"> PAGEREF _Toc186615023 \h </w:instrText>
        </w:r>
        <w:r w:rsidR="00F03E33">
          <w:rPr>
            <w:webHidden/>
          </w:rPr>
        </w:r>
        <w:r w:rsidR="00F03E33">
          <w:rPr>
            <w:webHidden/>
          </w:rPr>
          <w:fldChar w:fldCharType="separate"/>
        </w:r>
        <w:r w:rsidR="00F01E8C">
          <w:rPr>
            <w:webHidden/>
          </w:rPr>
          <w:t>4</w:t>
        </w:r>
        <w:r w:rsidR="00F03E33">
          <w:rPr>
            <w:webHidden/>
          </w:rPr>
          <w:fldChar w:fldCharType="end"/>
        </w:r>
      </w:hyperlink>
    </w:p>
    <w:p w:rsidR="00F03E33" w:rsidRDefault="007F6397">
      <w:pPr>
        <w:pStyle w:val="TOC3"/>
        <w:tabs>
          <w:tab w:val="left" w:pos="1440"/>
        </w:tabs>
      </w:pPr>
      <w:hyperlink w:anchor="_Toc186615024" w:history="1">
        <w:r w:rsidR="00F03E33" w:rsidRPr="001806A5">
          <w:rPr>
            <w:rStyle w:val="Hyperlink"/>
          </w:rPr>
          <w:t>B.</w:t>
        </w:r>
        <w:r w:rsidR="00F03E33">
          <w:tab/>
        </w:r>
        <w:r w:rsidR="00F03E33" w:rsidRPr="001806A5">
          <w:rPr>
            <w:rStyle w:val="Hyperlink"/>
          </w:rPr>
          <w:t>2005 Recovery Plan</w:t>
        </w:r>
        <w:r w:rsidR="00F03E33">
          <w:rPr>
            <w:webHidden/>
          </w:rPr>
          <w:tab/>
        </w:r>
        <w:r w:rsidR="00F03E33">
          <w:rPr>
            <w:webHidden/>
          </w:rPr>
          <w:fldChar w:fldCharType="begin"/>
        </w:r>
        <w:r w:rsidR="00F03E33">
          <w:rPr>
            <w:webHidden/>
          </w:rPr>
          <w:instrText xml:space="preserve"> PAGEREF _Toc186615024 \h </w:instrText>
        </w:r>
        <w:r w:rsidR="00F03E33">
          <w:rPr>
            <w:webHidden/>
          </w:rPr>
        </w:r>
        <w:r w:rsidR="00F03E33">
          <w:rPr>
            <w:webHidden/>
          </w:rPr>
          <w:fldChar w:fldCharType="separate"/>
        </w:r>
        <w:r w:rsidR="00F01E8C">
          <w:rPr>
            <w:webHidden/>
          </w:rPr>
          <w:t>7</w:t>
        </w:r>
        <w:r w:rsidR="00F03E33">
          <w:rPr>
            <w:webHidden/>
          </w:rPr>
          <w:fldChar w:fldCharType="end"/>
        </w:r>
      </w:hyperlink>
    </w:p>
    <w:p w:rsidR="00F03E33" w:rsidRDefault="007F6397">
      <w:pPr>
        <w:pStyle w:val="TOC3"/>
        <w:tabs>
          <w:tab w:val="left" w:pos="1440"/>
        </w:tabs>
      </w:pPr>
      <w:hyperlink w:anchor="_Toc186615025" w:history="1">
        <w:r w:rsidR="00F03E33" w:rsidRPr="001806A5">
          <w:rPr>
            <w:rStyle w:val="Hyperlink"/>
          </w:rPr>
          <w:t>C.</w:t>
        </w:r>
        <w:r w:rsidR="00F03E33">
          <w:tab/>
        </w:r>
        <w:r w:rsidR="00F03E33" w:rsidRPr="001806A5">
          <w:rPr>
            <w:rStyle w:val="Hyperlink"/>
          </w:rPr>
          <w:t>2006 Amended Recovery Plan</w:t>
        </w:r>
        <w:r w:rsidR="00F03E33">
          <w:rPr>
            <w:webHidden/>
          </w:rPr>
          <w:tab/>
        </w:r>
        <w:r w:rsidR="00F03E33">
          <w:rPr>
            <w:webHidden/>
          </w:rPr>
          <w:fldChar w:fldCharType="begin"/>
        </w:r>
        <w:r w:rsidR="00F03E33">
          <w:rPr>
            <w:webHidden/>
          </w:rPr>
          <w:instrText xml:space="preserve"> PAGEREF _Toc186615025 \h </w:instrText>
        </w:r>
        <w:r w:rsidR="00F03E33">
          <w:rPr>
            <w:webHidden/>
          </w:rPr>
        </w:r>
        <w:r w:rsidR="00F03E33">
          <w:rPr>
            <w:webHidden/>
          </w:rPr>
          <w:fldChar w:fldCharType="separate"/>
        </w:r>
        <w:r w:rsidR="00F01E8C">
          <w:rPr>
            <w:webHidden/>
          </w:rPr>
          <w:t>8</w:t>
        </w:r>
        <w:r w:rsidR="00F03E33">
          <w:rPr>
            <w:webHidden/>
          </w:rPr>
          <w:fldChar w:fldCharType="end"/>
        </w:r>
      </w:hyperlink>
    </w:p>
    <w:p w:rsidR="00F03E33" w:rsidRDefault="007F6397">
      <w:pPr>
        <w:pStyle w:val="TOC3"/>
        <w:tabs>
          <w:tab w:val="left" w:pos="1440"/>
        </w:tabs>
      </w:pPr>
      <w:hyperlink w:anchor="_Toc186615026" w:history="1">
        <w:r w:rsidR="00F03E33" w:rsidRPr="001806A5">
          <w:rPr>
            <w:rStyle w:val="Hyperlink"/>
          </w:rPr>
          <w:t>D.</w:t>
        </w:r>
        <w:r w:rsidR="00F03E33">
          <w:tab/>
        </w:r>
        <w:r w:rsidR="00F03E33" w:rsidRPr="001806A5">
          <w:rPr>
            <w:rStyle w:val="Hyperlink"/>
          </w:rPr>
          <w:t>Budget</w:t>
        </w:r>
        <w:r w:rsidR="00F03E33">
          <w:rPr>
            <w:webHidden/>
          </w:rPr>
          <w:tab/>
        </w:r>
        <w:r w:rsidR="00F03E33">
          <w:rPr>
            <w:webHidden/>
          </w:rPr>
          <w:fldChar w:fldCharType="begin"/>
        </w:r>
        <w:r w:rsidR="00F03E33">
          <w:rPr>
            <w:webHidden/>
          </w:rPr>
          <w:instrText xml:space="preserve"> PAGEREF _Toc186615026 \h </w:instrText>
        </w:r>
        <w:r w:rsidR="00F03E33">
          <w:rPr>
            <w:webHidden/>
          </w:rPr>
        </w:r>
        <w:r w:rsidR="00F03E33">
          <w:rPr>
            <w:webHidden/>
          </w:rPr>
          <w:fldChar w:fldCharType="separate"/>
        </w:r>
        <w:r w:rsidR="00F01E8C">
          <w:rPr>
            <w:webHidden/>
          </w:rPr>
          <w:t>10</w:t>
        </w:r>
        <w:r w:rsidR="00F03E33">
          <w:rPr>
            <w:webHidden/>
          </w:rPr>
          <w:fldChar w:fldCharType="end"/>
        </w:r>
      </w:hyperlink>
    </w:p>
    <w:p w:rsidR="00F03E33" w:rsidRDefault="007F6397">
      <w:pPr>
        <w:pStyle w:val="TOC3"/>
        <w:tabs>
          <w:tab w:val="left" w:pos="1440"/>
        </w:tabs>
      </w:pPr>
      <w:hyperlink w:anchor="_Toc186615027" w:history="1">
        <w:r w:rsidR="00F03E33" w:rsidRPr="001806A5">
          <w:rPr>
            <w:rStyle w:val="Hyperlink"/>
          </w:rPr>
          <w:t>E.</w:t>
        </w:r>
        <w:r w:rsidR="00F03E33">
          <w:tab/>
        </w:r>
        <w:r w:rsidR="00F03E33" w:rsidRPr="001806A5">
          <w:rPr>
            <w:rStyle w:val="Hyperlink"/>
          </w:rPr>
          <w:t>Contingency</w:t>
        </w:r>
        <w:r w:rsidR="00F03E33">
          <w:rPr>
            <w:webHidden/>
          </w:rPr>
          <w:tab/>
        </w:r>
        <w:r w:rsidR="00F03E33">
          <w:rPr>
            <w:webHidden/>
          </w:rPr>
          <w:fldChar w:fldCharType="begin"/>
        </w:r>
        <w:r w:rsidR="00F03E33">
          <w:rPr>
            <w:webHidden/>
          </w:rPr>
          <w:instrText xml:space="preserve"> PAGEREF _Toc186615027 \h </w:instrText>
        </w:r>
        <w:r w:rsidR="00F03E33">
          <w:rPr>
            <w:webHidden/>
          </w:rPr>
        </w:r>
        <w:r w:rsidR="00F03E33">
          <w:rPr>
            <w:webHidden/>
          </w:rPr>
          <w:fldChar w:fldCharType="separate"/>
        </w:r>
        <w:r w:rsidR="00F01E8C">
          <w:rPr>
            <w:webHidden/>
          </w:rPr>
          <w:t>13</w:t>
        </w:r>
        <w:r w:rsidR="00F03E33">
          <w:rPr>
            <w:webHidden/>
          </w:rPr>
          <w:fldChar w:fldCharType="end"/>
        </w:r>
      </w:hyperlink>
    </w:p>
    <w:p w:rsidR="00F03E33" w:rsidRDefault="007F6397">
      <w:pPr>
        <w:pStyle w:val="TOC3"/>
        <w:tabs>
          <w:tab w:val="left" w:pos="1440"/>
        </w:tabs>
      </w:pPr>
      <w:hyperlink w:anchor="_Toc186615028" w:history="1">
        <w:r w:rsidR="00F03E33" w:rsidRPr="001806A5">
          <w:rPr>
            <w:rStyle w:val="Hyperlink"/>
          </w:rPr>
          <w:t>F.</w:t>
        </w:r>
        <w:r w:rsidR="00F03E33">
          <w:tab/>
        </w:r>
        <w:r w:rsidR="00F03E33" w:rsidRPr="001806A5">
          <w:rPr>
            <w:rStyle w:val="Hyperlink"/>
          </w:rPr>
          <w:t>Schedule</w:t>
        </w:r>
        <w:r w:rsidR="00F03E33">
          <w:rPr>
            <w:webHidden/>
          </w:rPr>
          <w:tab/>
        </w:r>
        <w:r w:rsidR="00F03E33">
          <w:rPr>
            <w:webHidden/>
          </w:rPr>
          <w:fldChar w:fldCharType="begin"/>
        </w:r>
        <w:r w:rsidR="00F03E33">
          <w:rPr>
            <w:webHidden/>
          </w:rPr>
          <w:instrText xml:space="preserve"> PAGEREF _Toc186615028 \h </w:instrText>
        </w:r>
        <w:r w:rsidR="00F03E33">
          <w:rPr>
            <w:webHidden/>
          </w:rPr>
        </w:r>
        <w:r w:rsidR="00F03E33">
          <w:rPr>
            <w:webHidden/>
          </w:rPr>
          <w:fldChar w:fldCharType="separate"/>
        </w:r>
        <w:r w:rsidR="00F01E8C">
          <w:rPr>
            <w:webHidden/>
          </w:rPr>
          <w:t>14</w:t>
        </w:r>
        <w:r w:rsidR="00F03E33">
          <w:rPr>
            <w:webHidden/>
          </w:rPr>
          <w:fldChar w:fldCharType="end"/>
        </w:r>
      </w:hyperlink>
    </w:p>
    <w:p w:rsidR="00F03E33" w:rsidRDefault="007F6397">
      <w:pPr>
        <w:pStyle w:val="TOC3"/>
        <w:tabs>
          <w:tab w:val="left" w:pos="1440"/>
        </w:tabs>
      </w:pPr>
      <w:hyperlink w:anchor="_Toc186615029" w:history="1">
        <w:r w:rsidR="00F03E33" w:rsidRPr="001806A5">
          <w:rPr>
            <w:rStyle w:val="Hyperlink"/>
          </w:rPr>
          <w:t>G.</w:t>
        </w:r>
        <w:r w:rsidR="00F03E33">
          <w:tab/>
        </w:r>
        <w:r w:rsidR="00F03E33" w:rsidRPr="001806A5">
          <w:rPr>
            <w:rStyle w:val="Hyperlink"/>
          </w:rPr>
          <w:t>Cost Estimate and Schedule Linkage</w:t>
        </w:r>
        <w:r w:rsidR="00F03E33">
          <w:rPr>
            <w:webHidden/>
          </w:rPr>
          <w:tab/>
        </w:r>
        <w:r w:rsidR="00F03E33">
          <w:rPr>
            <w:webHidden/>
          </w:rPr>
          <w:fldChar w:fldCharType="begin"/>
        </w:r>
        <w:r w:rsidR="00F03E33">
          <w:rPr>
            <w:webHidden/>
          </w:rPr>
          <w:instrText xml:space="preserve"> PAGEREF _Toc186615029 \h </w:instrText>
        </w:r>
        <w:r w:rsidR="00F03E33">
          <w:rPr>
            <w:webHidden/>
          </w:rPr>
        </w:r>
        <w:r w:rsidR="00F03E33">
          <w:rPr>
            <w:webHidden/>
          </w:rPr>
          <w:fldChar w:fldCharType="separate"/>
        </w:r>
        <w:r w:rsidR="00F01E8C">
          <w:rPr>
            <w:webHidden/>
          </w:rPr>
          <w:t>15</w:t>
        </w:r>
        <w:r w:rsidR="00F03E33">
          <w:rPr>
            <w:webHidden/>
          </w:rPr>
          <w:fldChar w:fldCharType="end"/>
        </w:r>
      </w:hyperlink>
    </w:p>
    <w:p w:rsidR="00F03E33" w:rsidRDefault="007F6397">
      <w:pPr>
        <w:pStyle w:val="TOC2"/>
        <w:rPr>
          <w:b w:val="0"/>
          <w:bCs w:val="0"/>
          <w:noProof/>
        </w:rPr>
      </w:pPr>
      <w:hyperlink w:anchor="_Toc186615030" w:history="1">
        <w:r w:rsidR="00F03E33" w:rsidRPr="001806A5">
          <w:rPr>
            <w:rStyle w:val="Hyperlink"/>
            <w:noProof/>
          </w:rPr>
          <w:t>III.</w:t>
        </w:r>
        <w:r w:rsidR="00F03E33">
          <w:rPr>
            <w:b w:val="0"/>
            <w:bCs w:val="0"/>
            <w:noProof/>
          </w:rPr>
          <w:tab/>
        </w:r>
        <w:r w:rsidR="00F03E33" w:rsidRPr="001806A5">
          <w:rPr>
            <w:rStyle w:val="Hyperlink"/>
            <w:noProof/>
          </w:rPr>
          <w:t>FFGA SUPPORT DOCUMENTATION ASSESSMENT</w:t>
        </w:r>
        <w:r w:rsidR="00F03E33">
          <w:rPr>
            <w:noProof/>
            <w:webHidden/>
          </w:rPr>
          <w:tab/>
        </w:r>
        <w:r w:rsidR="00F03E33">
          <w:rPr>
            <w:noProof/>
            <w:webHidden/>
          </w:rPr>
          <w:fldChar w:fldCharType="begin"/>
        </w:r>
        <w:r w:rsidR="00F03E33">
          <w:rPr>
            <w:noProof/>
            <w:webHidden/>
          </w:rPr>
          <w:instrText xml:space="preserve"> PAGEREF _Toc186615030 \h </w:instrText>
        </w:r>
        <w:r w:rsidR="00F03E33">
          <w:rPr>
            <w:noProof/>
            <w:webHidden/>
          </w:rPr>
        </w:r>
        <w:r w:rsidR="00F03E33">
          <w:rPr>
            <w:noProof/>
            <w:webHidden/>
          </w:rPr>
          <w:fldChar w:fldCharType="separate"/>
        </w:r>
        <w:r w:rsidR="00F01E8C">
          <w:rPr>
            <w:noProof/>
            <w:webHidden/>
          </w:rPr>
          <w:t>16</w:t>
        </w:r>
        <w:r w:rsidR="00F03E33">
          <w:rPr>
            <w:noProof/>
            <w:webHidden/>
          </w:rPr>
          <w:fldChar w:fldCharType="end"/>
        </w:r>
      </w:hyperlink>
    </w:p>
    <w:p w:rsidR="00F03E33" w:rsidRDefault="007F6397">
      <w:pPr>
        <w:pStyle w:val="TOC3"/>
        <w:tabs>
          <w:tab w:val="left" w:pos="1440"/>
        </w:tabs>
      </w:pPr>
      <w:hyperlink w:anchor="_Toc186615031" w:history="1">
        <w:r w:rsidR="00F03E33" w:rsidRPr="001806A5">
          <w:rPr>
            <w:rStyle w:val="Hyperlink"/>
          </w:rPr>
          <w:t>A.</w:t>
        </w:r>
        <w:r w:rsidR="00F03E33">
          <w:tab/>
        </w:r>
        <w:r w:rsidR="00F03E33" w:rsidRPr="001806A5">
          <w:rPr>
            <w:rStyle w:val="Hyperlink"/>
          </w:rPr>
          <w:t>Project Management Plan</w:t>
        </w:r>
        <w:r w:rsidR="00F03E33">
          <w:rPr>
            <w:webHidden/>
          </w:rPr>
          <w:tab/>
        </w:r>
        <w:r w:rsidR="00F03E33">
          <w:rPr>
            <w:webHidden/>
          </w:rPr>
          <w:fldChar w:fldCharType="begin"/>
        </w:r>
        <w:r w:rsidR="00F03E33">
          <w:rPr>
            <w:webHidden/>
          </w:rPr>
          <w:instrText xml:space="preserve"> PAGEREF _Toc186615031 \h </w:instrText>
        </w:r>
        <w:r w:rsidR="00F03E33">
          <w:rPr>
            <w:webHidden/>
          </w:rPr>
        </w:r>
        <w:r w:rsidR="00F03E33">
          <w:rPr>
            <w:webHidden/>
          </w:rPr>
          <w:fldChar w:fldCharType="separate"/>
        </w:r>
        <w:r w:rsidR="00F01E8C">
          <w:rPr>
            <w:webHidden/>
          </w:rPr>
          <w:t>16</w:t>
        </w:r>
        <w:r w:rsidR="00F03E33">
          <w:rPr>
            <w:webHidden/>
          </w:rPr>
          <w:fldChar w:fldCharType="end"/>
        </w:r>
      </w:hyperlink>
    </w:p>
    <w:p w:rsidR="00F03E33" w:rsidRDefault="007F6397">
      <w:pPr>
        <w:pStyle w:val="TOC3"/>
        <w:tabs>
          <w:tab w:val="left" w:pos="1440"/>
        </w:tabs>
      </w:pPr>
      <w:hyperlink w:anchor="_Toc186615032" w:history="1">
        <w:r w:rsidR="00F03E33" w:rsidRPr="001806A5">
          <w:rPr>
            <w:rStyle w:val="Hyperlink"/>
          </w:rPr>
          <w:t>B.</w:t>
        </w:r>
        <w:r w:rsidR="00F03E33">
          <w:tab/>
        </w:r>
        <w:r w:rsidR="00F03E33" w:rsidRPr="001806A5">
          <w:rPr>
            <w:rStyle w:val="Hyperlink"/>
          </w:rPr>
          <w:t>Quality Program Plan</w:t>
        </w:r>
        <w:r w:rsidR="00F03E33">
          <w:rPr>
            <w:webHidden/>
          </w:rPr>
          <w:tab/>
        </w:r>
        <w:r w:rsidR="00F03E33">
          <w:rPr>
            <w:webHidden/>
          </w:rPr>
          <w:fldChar w:fldCharType="begin"/>
        </w:r>
        <w:r w:rsidR="00F03E33">
          <w:rPr>
            <w:webHidden/>
          </w:rPr>
          <w:instrText xml:space="preserve"> PAGEREF _Toc186615032 \h </w:instrText>
        </w:r>
        <w:r w:rsidR="00F03E33">
          <w:rPr>
            <w:webHidden/>
          </w:rPr>
        </w:r>
        <w:r w:rsidR="00F03E33">
          <w:rPr>
            <w:webHidden/>
          </w:rPr>
          <w:fldChar w:fldCharType="separate"/>
        </w:r>
        <w:r w:rsidR="00F01E8C">
          <w:rPr>
            <w:webHidden/>
          </w:rPr>
          <w:t>22</w:t>
        </w:r>
        <w:r w:rsidR="00F03E33">
          <w:rPr>
            <w:webHidden/>
          </w:rPr>
          <w:fldChar w:fldCharType="end"/>
        </w:r>
      </w:hyperlink>
    </w:p>
    <w:p w:rsidR="00F03E33" w:rsidRDefault="007F6397">
      <w:pPr>
        <w:pStyle w:val="TOC3"/>
        <w:tabs>
          <w:tab w:val="left" w:pos="1440"/>
        </w:tabs>
      </w:pPr>
      <w:hyperlink w:anchor="_Toc186615033" w:history="1">
        <w:r w:rsidR="00F03E33" w:rsidRPr="001806A5">
          <w:rPr>
            <w:rStyle w:val="Hyperlink"/>
          </w:rPr>
          <w:t>C.</w:t>
        </w:r>
        <w:r w:rsidR="00F03E33">
          <w:tab/>
        </w:r>
        <w:r w:rsidR="00F03E33" w:rsidRPr="001806A5">
          <w:rPr>
            <w:rStyle w:val="Hyperlink"/>
          </w:rPr>
          <w:t>Real Estate Acquisition and Management Plan</w:t>
        </w:r>
        <w:r w:rsidR="00F03E33">
          <w:rPr>
            <w:webHidden/>
          </w:rPr>
          <w:tab/>
        </w:r>
        <w:r w:rsidR="00F03E33">
          <w:rPr>
            <w:webHidden/>
          </w:rPr>
          <w:fldChar w:fldCharType="begin"/>
        </w:r>
        <w:r w:rsidR="00F03E33">
          <w:rPr>
            <w:webHidden/>
          </w:rPr>
          <w:instrText xml:space="preserve"> PAGEREF _Toc186615033 \h </w:instrText>
        </w:r>
        <w:r w:rsidR="00F03E33">
          <w:rPr>
            <w:webHidden/>
          </w:rPr>
        </w:r>
        <w:r w:rsidR="00F03E33">
          <w:rPr>
            <w:webHidden/>
          </w:rPr>
          <w:fldChar w:fldCharType="separate"/>
        </w:r>
        <w:r w:rsidR="00F01E8C">
          <w:rPr>
            <w:webHidden/>
          </w:rPr>
          <w:t>23</w:t>
        </w:r>
        <w:r w:rsidR="00F03E33">
          <w:rPr>
            <w:webHidden/>
          </w:rPr>
          <w:fldChar w:fldCharType="end"/>
        </w:r>
      </w:hyperlink>
    </w:p>
    <w:p w:rsidR="00F03E33" w:rsidRDefault="007F6397">
      <w:pPr>
        <w:pStyle w:val="TOC3"/>
        <w:tabs>
          <w:tab w:val="left" w:pos="1440"/>
        </w:tabs>
      </w:pPr>
      <w:hyperlink w:anchor="_Toc186615034" w:history="1">
        <w:r w:rsidR="00F03E33" w:rsidRPr="001806A5">
          <w:rPr>
            <w:rStyle w:val="Hyperlink"/>
          </w:rPr>
          <w:t>D.</w:t>
        </w:r>
        <w:r w:rsidR="00F03E33">
          <w:tab/>
        </w:r>
        <w:r w:rsidR="00F03E33" w:rsidRPr="001806A5">
          <w:rPr>
            <w:rStyle w:val="Hyperlink"/>
          </w:rPr>
          <w:t>Rail Fleet Management Plan</w:t>
        </w:r>
        <w:r w:rsidR="00F03E33">
          <w:rPr>
            <w:webHidden/>
          </w:rPr>
          <w:tab/>
        </w:r>
        <w:r w:rsidR="00F03E33">
          <w:rPr>
            <w:webHidden/>
          </w:rPr>
          <w:fldChar w:fldCharType="begin"/>
        </w:r>
        <w:r w:rsidR="00F03E33">
          <w:rPr>
            <w:webHidden/>
          </w:rPr>
          <w:instrText xml:space="preserve"> PAGEREF _Toc186615034 \h </w:instrText>
        </w:r>
        <w:r w:rsidR="00F03E33">
          <w:rPr>
            <w:webHidden/>
          </w:rPr>
        </w:r>
        <w:r w:rsidR="00F03E33">
          <w:rPr>
            <w:webHidden/>
          </w:rPr>
          <w:fldChar w:fldCharType="separate"/>
        </w:r>
        <w:r w:rsidR="00F01E8C">
          <w:rPr>
            <w:webHidden/>
          </w:rPr>
          <w:t>23</w:t>
        </w:r>
        <w:r w:rsidR="00F03E33">
          <w:rPr>
            <w:webHidden/>
          </w:rPr>
          <w:fldChar w:fldCharType="end"/>
        </w:r>
      </w:hyperlink>
    </w:p>
    <w:p w:rsidR="00F03E33" w:rsidRDefault="007F6397">
      <w:pPr>
        <w:pStyle w:val="TOC3"/>
        <w:tabs>
          <w:tab w:val="left" w:pos="1440"/>
        </w:tabs>
      </w:pPr>
      <w:hyperlink w:anchor="_Toc186615035" w:history="1">
        <w:r w:rsidR="00F03E33" w:rsidRPr="001806A5">
          <w:rPr>
            <w:rStyle w:val="Hyperlink"/>
          </w:rPr>
          <w:t>E.</w:t>
        </w:r>
        <w:r w:rsidR="00F03E33">
          <w:tab/>
        </w:r>
        <w:r w:rsidR="00F03E33" w:rsidRPr="001806A5">
          <w:rPr>
            <w:rStyle w:val="Hyperlink"/>
          </w:rPr>
          <w:t>Bus Fleet Management Plan</w:t>
        </w:r>
        <w:r w:rsidR="00F03E33">
          <w:rPr>
            <w:webHidden/>
          </w:rPr>
          <w:tab/>
        </w:r>
        <w:r w:rsidR="00F03E33">
          <w:rPr>
            <w:webHidden/>
          </w:rPr>
          <w:fldChar w:fldCharType="begin"/>
        </w:r>
        <w:r w:rsidR="00F03E33">
          <w:rPr>
            <w:webHidden/>
          </w:rPr>
          <w:instrText xml:space="preserve"> PAGEREF _Toc186615035 \h </w:instrText>
        </w:r>
        <w:r w:rsidR="00F03E33">
          <w:rPr>
            <w:webHidden/>
          </w:rPr>
        </w:r>
        <w:r w:rsidR="00F03E33">
          <w:rPr>
            <w:webHidden/>
          </w:rPr>
          <w:fldChar w:fldCharType="separate"/>
        </w:r>
        <w:r w:rsidR="00F01E8C">
          <w:rPr>
            <w:webHidden/>
          </w:rPr>
          <w:t>23</w:t>
        </w:r>
        <w:r w:rsidR="00F03E33">
          <w:rPr>
            <w:webHidden/>
          </w:rPr>
          <w:fldChar w:fldCharType="end"/>
        </w:r>
      </w:hyperlink>
    </w:p>
    <w:p w:rsidR="00F03E33" w:rsidRDefault="007F6397">
      <w:pPr>
        <w:pStyle w:val="TOC3"/>
        <w:tabs>
          <w:tab w:val="left" w:pos="1440"/>
        </w:tabs>
      </w:pPr>
      <w:hyperlink w:anchor="_Toc186615036" w:history="1">
        <w:r w:rsidR="00F03E33" w:rsidRPr="001806A5">
          <w:rPr>
            <w:rStyle w:val="Hyperlink"/>
          </w:rPr>
          <w:t>F.</w:t>
        </w:r>
        <w:r w:rsidR="00F03E33">
          <w:tab/>
        </w:r>
        <w:r w:rsidR="00F03E33" w:rsidRPr="001806A5">
          <w:rPr>
            <w:rStyle w:val="Hyperlink"/>
          </w:rPr>
          <w:t>System Safety Program Plan and System Security Plan</w:t>
        </w:r>
        <w:r w:rsidR="00F03E33">
          <w:rPr>
            <w:webHidden/>
          </w:rPr>
          <w:tab/>
        </w:r>
        <w:r w:rsidR="00F03E33">
          <w:rPr>
            <w:webHidden/>
          </w:rPr>
          <w:fldChar w:fldCharType="begin"/>
        </w:r>
        <w:r w:rsidR="00F03E33">
          <w:rPr>
            <w:webHidden/>
          </w:rPr>
          <w:instrText xml:space="preserve"> PAGEREF _Toc186615036 \h </w:instrText>
        </w:r>
        <w:r w:rsidR="00F03E33">
          <w:rPr>
            <w:webHidden/>
          </w:rPr>
        </w:r>
        <w:r w:rsidR="00F03E33">
          <w:rPr>
            <w:webHidden/>
          </w:rPr>
          <w:fldChar w:fldCharType="separate"/>
        </w:r>
        <w:r w:rsidR="00F01E8C">
          <w:rPr>
            <w:webHidden/>
          </w:rPr>
          <w:t>24</w:t>
        </w:r>
        <w:r w:rsidR="00F03E33">
          <w:rPr>
            <w:webHidden/>
          </w:rPr>
          <w:fldChar w:fldCharType="end"/>
        </w:r>
      </w:hyperlink>
    </w:p>
    <w:p w:rsidR="00F03E33" w:rsidRDefault="007F6397">
      <w:pPr>
        <w:pStyle w:val="TOC3"/>
        <w:tabs>
          <w:tab w:val="left" w:pos="1440"/>
        </w:tabs>
      </w:pPr>
      <w:hyperlink w:anchor="_Toc186615037" w:history="1">
        <w:r w:rsidR="00F03E33" w:rsidRPr="001806A5">
          <w:rPr>
            <w:rStyle w:val="Hyperlink"/>
          </w:rPr>
          <w:t>G.</w:t>
        </w:r>
        <w:r w:rsidR="00F03E33">
          <w:tab/>
        </w:r>
        <w:r w:rsidR="00F03E33" w:rsidRPr="001806A5">
          <w:rPr>
            <w:rStyle w:val="Hyperlink"/>
          </w:rPr>
          <w:t>Safety Certification Plan</w:t>
        </w:r>
        <w:r w:rsidR="00F03E33">
          <w:rPr>
            <w:webHidden/>
          </w:rPr>
          <w:tab/>
        </w:r>
        <w:r w:rsidR="00F03E33">
          <w:rPr>
            <w:webHidden/>
          </w:rPr>
          <w:fldChar w:fldCharType="begin"/>
        </w:r>
        <w:r w:rsidR="00F03E33">
          <w:rPr>
            <w:webHidden/>
          </w:rPr>
          <w:instrText xml:space="preserve"> PAGEREF _Toc186615037 \h </w:instrText>
        </w:r>
        <w:r w:rsidR="00F03E33">
          <w:rPr>
            <w:webHidden/>
          </w:rPr>
        </w:r>
        <w:r w:rsidR="00F03E33">
          <w:rPr>
            <w:webHidden/>
          </w:rPr>
          <w:fldChar w:fldCharType="separate"/>
        </w:r>
        <w:r w:rsidR="00F01E8C">
          <w:rPr>
            <w:webHidden/>
          </w:rPr>
          <w:t>24</w:t>
        </w:r>
        <w:r w:rsidR="00F03E33">
          <w:rPr>
            <w:webHidden/>
          </w:rPr>
          <w:fldChar w:fldCharType="end"/>
        </w:r>
      </w:hyperlink>
    </w:p>
    <w:p w:rsidR="00F03E33" w:rsidRDefault="007F6397">
      <w:pPr>
        <w:pStyle w:val="TOC2"/>
        <w:rPr>
          <w:b w:val="0"/>
          <w:bCs w:val="0"/>
          <w:noProof/>
        </w:rPr>
      </w:pPr>
      <w:hyperlink w:anchor="_Toc186615038" w:history="1">
        <w:r w:rsidR="00F03E33" w:rsidRPr="001806A5">
          <w:rPr>
            <w:rStyle w:val="Hyperlink"/>
            <w:noProof/>
          </w:rPr>
          <w:t>IV.</w:t>
        </w:r>
        <w:r w:rsidR="00F03E33">
          <w:rPr>
            <w:b w:val="0"/>
            <w:bCs w:val="0"/>
            <w:noProof/>
          </w:rPr>
          <w:tab/>
        </w:r>
        <w:r w:rsidR="00F03E33" w:rsidRPr="001806A5">
          <w:rPr>
            <w:rStyle w:val="Hyperlink"/>
            <w:noProof/>
          </w:rPr>
          <w:t>FFGA AMENDMENT ATTACHMENTS ASSESSMENT</w:t>
        </w:r>
        <w:r w:rsidR="00F03E33">
          <w:rPr>
            <w:noProof/>
            <w:webHidden/>
          </w:rPr>
          <w:tab/>
        </w:r>
        <w:r w:rsidR="00F03E33">
          <w:rPr>
            <w:noProof/>
            <w:webHidden/>
          </w:rPr>
          <w:fldChar w:fldCharType="begin"/>
        </w:r>
        <w:r w:rsidR="00F03E33">
          <w:rPr>
            <w:noProof/>
            <w:webHidden/>
          </w:rPr>
          <w:instrText xml:space="preserve"> PAGEREF _Toc186615038 \h </w:instrText>
        </w:r>
        <w:r w:rsidR="00F03E33">
          <w:rPr>
            <w:noProof/>
            <w:webHidden/>
          </w:rPr>
        </w:r>
        <w:r w:rsidR="00F03E33">
          <w:rPr>
            <w:noProof/>
            <w:webHidden/>
          </w:rPr>
          <w:fldChar w:fldCharType="separate"/>
        </w:r>
        <w:r w:rsidR="00F01E8C">
          <w:rPr>
            <w:noProof/>
            <w:webHidden/>
          </w:rPr>
          <w:t>25</w:t>
        </w:r>
        <w:r w:rsidR="00F03E33">
          <w:rPr>
            <w:noProof/>
            <w:webHidden/>
          </w:rPr>
          <w:fldChar w:fldCharType="end"/>
        </w:r>
      </w:hyperlink>
    </w:p>
    <w:p w:rsidR="00F03E33" w:rsidRDefault="007F6397">
      <w:pPr>
        <w:pStyle w:val="TOC3"/>
        <w:tabs>
          <w:tab w:val="left" w:pos="1440"/>
        </w:tabs>
      </w:pPr>
      <w:hyperlink w:anchor="_Toc186615039" w:history="1">
        <w:r w:rsidR="00F03E33" w:rsidRPr="001806A5">
          <w:rPr>
            <w:rStyle w:val="Hyperlink"/>
          </w:rPr>
          <w:t>A.</w:t>
        </w:r>
        <w:r w:rsidR="00F03E33">
          <w:tab/>
        </w:r>
        <w:r w:rsidR="00F03E33" w:rsidRPr="001806A5">
          <w:rPr>
            <w:rStyle w:val="Hyperlink"/>
          </w:rPr>
          <w:t>Attachment 1 – Scope of the Project</w:t>
        </w:r>
        <w:r w:rsidR="00F03E33">
          <w:rPr>
            <w:webHidden/>
          </w:rPr>
          <w:tab/>
        </w:r>
        <w:r w:rsidR="00F03E33">
          <w:rPr>
            <w:webHidden/>
          </w:rPr>
          <w:fldChar w:fldCharType="begin"/>
        </w:r>
        <w:r w:rsidR="00F03E33">
          <w:rPr>
            <w:webHidden/>
          </w:rPr>
          <w:instrText xml:space="preserve"> PAGEREF _Toc186615039 \h </w:instrText>
        </w:r>
        <w:r w:rsidR="00F03E33">
          <w:rPr>
            <w:webHidden/>
          </w:rPr>
        </w:r>
        <w:r w:rsidR="00F03E33">
          <w:rPr>
            <w:webHidden/>
          </w:rPr>
          <w:fldChar w:fldCharType="separate"/>
        </w:r>
        <w:r w:rsidR="00F01E8C">
          <w:rPr>
            <w:webHidden/>
          </w:rPr>
          <w:t>25</w:t>
        </w:r>
        <w:r w:rsidR="00F03E33">
          <w:rPr>
            <w:webHidden/>
          </w:rPr>
          <w:fldChar w:fldCharType="end"/>
        </w:r>
      </w:hyperlink>
    </w:p>
    <w:p w:rsidR="00F03E33" w:rsidRDefault="007F6397">
      <w:pPr>
        <w:pStyle w:val="TOC3"/>
        <w:tabs>
          <w:tab w:val="left" w:pos="1440"/>
        </w:tabs>
      </w:pPr>
      <w:hyperlink w:anchor="_Toc186615040" w:history="1">
        <w:r w:rsidR="00F03E33" w:rsidRPr="001806A5">
          <w:rPr>
            <w:rStyle w:val="Hyperlink"/>
          </w:rPr>
          <w:t>B.</w:t>
        </w:r>
        <w:r w:rsidR="00F03E33">
          <w:tab/>
        </w:r>
        <w:r w:rsidR="00F03E33" w:rsidRPr="001806A5">
          <w:rPr>
            <w:rStyle w:val="Hyperlink"/>
          </w:rPr>
          <w:t>Attachment 1A – Project Map</w:t>
        </w:r>
        <w:r w:rsidR="00F03E33">
          <w:rPr>
            <w:webHidden/>
          </w:rPr>
          <w:tab/>
        </w:r>
        <w:r w:rsidR="00F03E33">
          <w:rPr>
            <w:webHidden/>
          </w:rPr>
          <w:fldChar w:fldCharType="begin"/>
        </w:r>
        <w:r w:rsidR="00F03E33">
          <w:rPr>
            <w:webHidden/>
          </w:rPr>
          <w:instrText xml:space="preserve"> PAGEREF _Toc186615040 \h </w:instrText>
        </w:r>
        <w:r w:rsidR="00F03E33">
          <w:rPr>
            <w:webHidden/>
          </w:rPr>
        </w:r>
        <w:r w:rsidR="00F03E33">
          <w:rPr>
            <w:webHidden/>
          </w:rPr>
          <w:fldChar w:fldCharType="separate"/>
        </w:r>
        <w:r w:rsidR="00F01E8C">
          <w:rPr>
            <w:webHidden/>
          </w:rPr>
          <w:t>25</w:t>
        </w:r>
        <w:r w:rsidR="00F03E33">
          <w:rPr>
            <w:webHidden/>
          </w:rPr>
          <w:fldChar w:fldCharType="end"/>
        </w:r>
      </w:hyperlink>
    </w:p>
    <w:p w:rsidR="00F03E33" w:rsidRDefault="007F6397">
      <w:pPr>
        <w:pStyle w:val="TOC3"/>
        <w:tabs>
          <w:tab w:val="left" w:pos="1440"/>
        </w:tabs>
      </w:pPr>
      <w:hyperlink w:anchor="_Toc186615041" w:history="1">
        <w:r w:rsidR="00F03E33" w:rsidRPr="001806A5">
          <w:rPr>
            <w:rStyle w:val="Hyperlink"/>
          </w:rPr>
          <w:t>C.</w:t>
        </w:r>
        <w:r w:rsidR="00F03E33">
          <w:tab/>
        </w:r>
        <w:r w:rsidR="00F03E33" w:rsidRPr="001806A5">
          <w:rPr>
            <w:rStyle w:val="Hyperlink"/>
          </w:rPr>
          <w:t>Attachment 2 – Project Description</w:t>
        </w:r>
        <w:r w:rsidR="00F03E33">
          <w:rPr>
            <w:webHidden/>
          </w:rPr>
          <w:tab/>
        </w:r>
        <w:r w:rsidR="00F03E33">
          <w:rPr>
            <w:webHidden/>
          </w:rPr>
          <w:fldChar w:fldCharType="begin"/>
        </w:r>
        <w:r w:rsidR="00F03E33">
          <w:rPr>
            <w:webHidden/>
          </w:rPr>
          <w:instrText xml:space="preserve"> PAGEREF _Toc186615041 \h </w:instrText>
        </w:r>
        <w:r w:rsidR="00F03E33">
          <w:rPr>
            <w:webHidden/>
          </w:rPr>
        </w:r>
        <w:r w:rsidR="00F03E33">
          <w:rPr>
            <w:webHidden/>
          </w:rPr>
          <w:fldChar w:fldCharType="separate"/>
        </w:r>
        <w:r w:rsidR="00F01E8C">
          <w:rPr>
            <w:webHidden/>
          </w:rPr>
          <w:t>25</w:t>
        </w:r>
        <w:r w:rsidR="00F03E33">
          <w:rPr>
            <w:webHidden/>
          </w:rPr>
          <w:fldChar w:fldCharType="end"/>
        </w:r>
      </w:hyperlink>
    </w:p>
    <w:p w:rsidR="00F03E33" w:rsidRDefault="007F6397">
      <w:pPr>
        <w:pStyle w:val="TOC3"/>
        <w:tabs>
          <w:tab w:val="left" w:pos="1440"/>
        </w:tabs>
      </w:pPr>
      <w:hyperlink w:anchor="_Toc186615042" w:history="1">
        <w:r w:rsidR="00F03E33" w:rsidRPr="001806A5">
          <w:rPr>
            <w:rStyle w:val="Hyperlink"/>
          </w:rPr>
          <w:t>D.</w:t>
        </w:r>
        <w:r w:rsidR="00F03E33">
          <w:tab/>
        </w:r>
        <w:r w:rsidR="00F03E33" w:rsidRPr="001806A5">
          <w:rPr>
            <w:rStyle w:val="Hyperlink"/>
          </w:rPr>
          <w:t>Attachment 3 – Baseline Cost Estimate</w:t>
        </w:r>
        <w:r w:rsidR="00F03E33">
          <w:rPr>
            <w:webHidden/>
          </w:rPr>
          <w:tab/>
        </w:r>
        <w:r w:rsidR="00F03E33">
          <w:rPr>
            <w:webHidden/>
          </w:rPr>
          <w:fldChar w:fldCharType="begin"/>
        </w:r>
        <w:r w:rsidR="00F03E33">
          <w:rPr>
            <w:webHidden/>
          </w:rPr>
          <w:instrText xml:space="preserve"> PAGEREF _Toc186615042 \h </w:instrText>
        </w:r>
        <w:r w:rsidR="00F03E33">
          <w:rPr>
            <w:webHidden/>
          </w:rPr>
        </w:r>
        <w:r w:rsidR="00F03E33">
          <w:rPr>
            <w:webHidden/>
          </w:rPr>
          <w:fldChar w:fldCharType="separate"/>
        </w:r>
        <w:r w:rsidR="00F01E8C">
          <w:rPr>
            <w:webHidden/>
          </w:rPr>
          <w:t>25</w:t>
        </w:r>
        <w:r w:rsidR="00F03E33">
          <w:rPr>
            <w:webHidden/>
          </w:rPr>
          <w:fldChar w:fldCharType="end"/>
        </w:r>
      </w:hyperlink>
    </w:p>
    <w:p w:rsidR="00F03E33" w:rsidRDefault="007F6397">
      <w:pPr>
        <w:pStyle w:val="TOC3"/>
        <w:tabs>
          <w:tab w:val="left" w:pos="1440"/>
        </w:tabs>
      </w:pPr>
      <w:hyperlink w:anchor="_Toc186615043" w:history="1">
        <w:r w:rsidR="00F03E33" w:rsidRPr="001806A5">
          <w:rPr>
            <w:rStyle w:val="Hyperlink"/>
          </w:rPr>
          <w:t>E.</w:t>
        </w:r>
        <w:r w:rsidR="00F03E33">
          <w:tab/>
        </w:r>
        <w:r w:rsidR="00F03E33" w:rsidRPr="001806A5">
          <w:rPr>
            <w:rStyle w:val="Hyperlink"/>
          </w:rPr>
          <w:t>Attachment 3A – Project Budget</w:t>
        </w:r>
        <w:r w:rsidR="00F03E33">
          <w:rPr>
            <w:webHidden/>
          </w:rPr>
          <w:tab/>
        </w:r>
        <w:r w:rsidR="00F03E33">
          <w:rPr>
            <w:webHidden/>
          </w:rPr>
          <w:fldChar w:fldCharType="begin"/>
        </w:r>
        <w:r w:rsidR="00F03E33">
          <w:rPr>
            <w:webHidden/>
          </w:rPr>
          <w:instrText xml:space="preserve"> PAGEREF _Toc186615043 \h </w:instrText>
        </w:r>
        <w:r w:rsidR="00F03E33">
          <w:rPr>
            <w:webHidden/>
          </w:rPr>
        </w:r>
        <w:r w:rsidR="00F03E33">
          <w:rPr>
            <w:webHidden/>
          </w:rPr>
          <w:fldChar w:fldCharType="separate"/>
        </w:r>
        <w:r w:rsidR="00F01E8C">
          <w:rPr>
            <w:webHidden/>
          </w:rPr>
          <w:t>26</w:t>
        </w:r>
        <w:r w:rsidR="00F03E33">
          <w:rPr>
            <w:webHidden/>
          </w:rPr>
          <w:fldChar w:fldCharType="end"/>
        </w:r>
      </w:hyperlink>
    </w:p>
    <w:p w:rsidR="00F03E33" w:rsidRDefault="007F6397">
      <w:pPr>
        <w:pStyle w:val="TOC3"/>
        <w:tabs>
          <w:tab w:val="left" w:pos="1440"/>
        </w:tabs>
      </w:pPr>
      <w:hyperlink w:anchor="_Toc186615044" w:history="1">
        <w:r w:rsidR="00F03E33" w:rsidRPr="001806A5">
          <w:rPr>
            <w:rStyle w:val="Hyperlink"/>
          </w:rPr>
          <w:t>F.</w:t>
        </w:r>
        <w:r w:rsidR="00F03E33">
          <w:tab/>
        </w:r>
        <w:r w:rsidR="00F03E33" w:rsidRPr="001806A5">
          <w:rPr>
            <w:rStyle w:val="Hyperlink"/>
          </w:rPr>
          <w:t>Attachment 4 – Baseline Schedule</w:t>
        </w:r>
        <w:r w:rsidR="00F03E33">
          <w:rPr>
            <w:webHidden/>
          </w:rPr>
          <w:tab/>
        </w:r>
        <w:r w:rsidR="00F03E33">
          <w:rPr>
            <w:webHidden/>
          </w:rPr>
          <w:fldChar w:fldCharType="begin"/>
        </w:r>
        <w:r w:rsidR="00F03E33">
          <w:rPr>
            <w:webHidden/>
          </w:rPr>
          <w:instrText xml:space="preserve"> PAGEREF _Toc186615044 \h </w:instrText>
        </w:r>
        <w:r w:rsidR="00F03E33">
          <w:rPr>
            <w:webHidden/>
          </w:rPr>
        </w:r>
        <w:r w:rsidR="00F03E33">
          <w:rPr>
            <w:webHidden/>
          </w:rPr>
          <w:fldChar w:fldCharType="separate"/>
        </w:r>
        <w:r w:rsidR="00F01E8C">
          <w:rPr>
            <w:webHidden/>
          </w:rPr>
          <w:t>26</w:t>
        </w:r>
        <w:r w:rsidR="00F03E33">
          <w:rPr>
            <w:webHidden/>
          </w:rPr>
          <w:fldChar w:fldCharType="end"/>
        </w:r>
      </w:hyperlink>
    </w:p>
    <w:p w:rsidR="00F03E33" w:rsidRDefault="007F6397">
      <w:pPr>
        <w:pStyle w:val="TOC3"/>
        <w:tabs>
          <w:tab w:val="left" w:pos="1440"/>
        </w:tabs>
      </w:pPr>
      <w:hyperlink w:anchor="_Toc186615045" w:history="1">
        <w:r w:rsidR="00F03E33" w:rsidRPr="001806A5">
          <w:rPr>
            <w:rStyle w:val="Hyperlink"/>
          </w:rPr>
          <w:t>G.</w:t>
        </w:r>
        <w:r w:rsidR="00F03E33">
          <w:tab/>
        </w:r>
        <w:r w:rsidR="00F03E33" w:rsidRPr="001806A5">
          <w:rPr>
            <w:rStyle w:val="Hyperlink"/>
          </w:rPr>
          <w:t>Attachment 5 – Prior Grants and Related Documents</w:t>
        </w:r>
        <w:r w:rsidR="00F03E33">
          <w:rPr>
            <w:webHidden/>
          </w:rPr>
          <w:tab/>
        </w:r>
        <w:r w:rsidR="00F03E33">
          <w:rPr>
            <w:webHidden/>
          </w:rPr>
          <w:fldChar w:fldCharType="begin"/>
        </w:r>
        <w:r w:rsidR="00F03E33">
          <w:rPr>
            <w:webHidden/>
          </w:rPr>
          <w:instrText xml:space="preserve"> PAGEREF _Toc186615045 \h </w:instrText>
        </w:r>
        <w:r w:rsidR="00F03E33">
          <w:rPr>
            <w:webHidden/>
          </w:rPr>
        </w:r>
        <w:r w:rsidR="00F03E33">
          <w:rPr>
            <w:webHidden/>
          </w:rPr>
          <w:fldChar w:fldCharType="separate"/>
        </w:r>
        <w:r w:rsidR="00F01E8C">
          <w:rPr>
            <w:webHidden/>
          </w:rPr>
          <w:t>26</w:t>
        </w:r>
        <w:r w:rsidR="00F03E33">
          <w:rPr>
            <w:webHidden/>
          </w:rPr>
          <w:fldChar w:fldCharType="end"/>
        </w:r>
      </w:hyperlink>
    </w:p>
    <w:p w:rsidR="00F03E33" w:rsidRDefault="007F6397">
      <w:pPr>
        <w:pStyle w:val="TOC3"/>
        <w:tabs>
          <w:tab w:val="left" w:pos="1440"/>
        </w:tabs>
      </w:pPr>
      <w:hyperlink w:anchor="_Toc186615046" w:history="1">
        <w:r w:rsidR="00F03E33" w:rsidRPr="001806A5">
          <w:rPr>
            <w:rStyle w:val="Hyperlink"/>
          </w:rPr>
          <w:t>H.</w:t>
        </w:r>
        <w:r w:rsidR="00F03E33">
          <w:tab/>
        </w:r>
        <w:r w:rsidR="00F03E33" w:rsidRPr="001806A5">
          <w:rPr>
            <w:rStyle w:val="Hyperlink"/>
          </w:rPr>
          <w:t>Attachment 6 – Schedule of Federal Funds</w:t>
        </w:r>
        <w:r w:rsidR="00F03E33">
          <w:rPr>
            <w:webHidden/>
          </w:rPr>
          <w:tab/>
        </w:r>
        <w:r w:rsidR="00F03E33">
          <w:rPr>
            <w:webHidden/>
          </w:rPr>
          <w:fldChar w:fldCharType="begin"/>
        </w:r>
        <w:r w:rsidR="00F03E33">
          <w:rPr>
            <w:webHidden/>
          </w:rPr>
          <w:instrText xml:space="preserve"> PAGEREF _Toc186615046 \h </w:instrText>
        </w:r>
        <w:r w:rsidR="00F03E33">
          <w:rPr>
            <w:webHidden/>
          </w:rPr>
        </w:r>
        <w:r w:rsidR="00F03E33">
          <w:rPr>
            <w:webHidden/>
          </w:rPr>
          <w:fldChar w:fldCharType="separate"/>
        </w:r>
        <w:r w:rsidR="00F01E8C">
          <w:rPr>
            <w:webHidden/>
          </w:rPr>
          <w:t>27</w:t>
        </w:r>
        <w:r w:rsidR="00F03E33">
          <w:rPr>
            <w:webHidden/>
          </w:rPr>
          <w:fldChar w:fldCharType="end"/>
        </w:r>
      </w:hyperlink>
    </w:p>
    <w:p w:rsidR="00F03E33" w:rsidRDefault="007F6397">
      <w:pPr>
        <w:pStyle w:val="TOC3"/>
        <w:tabs>
          <w:tab w:val="left" w:pos="1440"/>
        </w:tabs>
      </w:pPr>
      <w:hyperlink w:anchor="_Toc186615047" w:history="1">
        <w:r w:rsidR="00F03E33" w:rsidRPr="001806A5">
          <w:rPr>
            <w:rStyle w:val="Hyperlink"/>
          </w:rPr>
          <w:t>I.</w:t>
        </w:r>
        <w:r w:rsidR="00F03E33">
          <w:tab/>
        </w:r>
        <w:r w:rsidR="00F03E33" w:rsidRPr="001806A5">
          <w:rPr>
            <w:rStyle w:val="Hyperlink"/>
          </w:rPr>
          <w:t>Attachment 7 – Measures to Mitigate Environmental Impacts</w:t>
        </w:r>
        <w:r w:rsidR="00F03E33">
          <w:rPr>
            <w:webHidden/>
          </w:rPr>
          <w:tab/>
        </w:r>
        <w:r w:rsidR="00F03E33">
          <w:rPr>
            <w:webHidden/>
          </w:rPr>
          <w:fldChar w:fldCharType="begin"/>
        </w:r>
        <w:r w:rsidR="00F03E33">
          <w:rPr>
            <w:webHidden/>
          </w:rPr>
          <w:instrText xml:space="preserve"> PAGEREF _Toc186615047 \h </w:instrText>
        </w:r>
        <w:r w:rsidR="00F03E33">
          <w:rPr>
            <w:webHidden/>
          </w:rPr>
        </w:r>
        <w:r w:rsidR="00F03E33">
          <w:rPr>
            <w:webHidden/>
          </w:rPr>
          <w:fldChar w:fldCharType="separate"/>
        </w:r>
        <w:r w:rsidR="00F01E8C">
          <w:rPr>
            <w:webHidden/>
          </w:rPr>
          <w:t>27</w:t>
        </w:r>
        <w:r w:rsidR="00F03E33">
          <w:rPr>
            <w:webHidden/>
          </w:rPr>
          <w:fldChar w:fldCharType="end"/>
        </w:r>
      </w:hyperlink>
    </w:p>
    <w:p w:rsidR="00F03E33" w:rsidRDefault="007F6397">
      <w:pPr>
        <w:pStyle w:val="TOC3"/>
        <w:tabs>
          <w:tab w:val="left" w:pos="1440"/>
        </w:tabs>
      </w:pPr>
      <w:hyperlink w:anchor="_Toc186615048" w:history="1">
        <w:r w:rsidR="00F03E33" w:rsidRPr="001806A5">
          <w:rPr>
            <w:rStyle w:val="Hyperlink"/>
          </w:rPr>
          <w:t>J.</w:t>
        </w:r>
        <w:r w:rsidR="00F03E33">
          <w:tab/>
        </w:r>
        <w:r w:rsidR="00F03E33" w:rsidRPr="001806A5">
          <w:rPr>
            <w:rStyle w:val="Hyperlink"/>
          </w:rPr>
          <w:t>Attachment 8 – Before-and-After Study</w:t>
        </w:r>
        <w:r w:rsidR="00F03E33">
          <w:rPr>
            <w:webHidden/>
          </w:rPr>
          <w:tab/>
        </w:r>
        <w:r w:rsidR="00F03E33">
          <w:rPr>
            <w:webHidden/>
          </w:rPr>
          <w:fldChar w:fldCharType="begin"/>
        </w:r>
        <w:r w:rsidR="00F03E33">
          <w:rPr>
            <w:webHidden/>
          </w:rPr>
          <w:instrText xml:space="preserve"> PAGEREF _Toc186615048 \h </w:instrText>
        </w:r>
        <w:r w:rsidR="00F03E33">
          <w:rPr>
            <w:webHidden/>
          </w:rPr>
        </w:r>
        <w:r w:rsidR="00F03E33">
          <w:rPr>
            <w:webHidden/>
          </w:rPr>
          <w:fldChar w:fldCharType="separate"/>
        </w:r>
        <w:r w:rsidR="00F01E8C">
          <w:rPr>
            <w:webHidden/>
          </w:rPr>
          <w:t>27</w:t>
        </w:r>
        <w:r w:rsidR="00F03E33">
          <w:rPr>
            <w:webHidden/>
          </w:rPr>
          <w:fldChar w:fldCharType="end"/>
        </w:r>
      </w:hyperlink>
    </w:p>
    <w:p w:rsidR="00F03E33" w:rsidRDefault="007F6397">
      <w:pPr>
        <w:pStyle w:val="TOC2"/>
        <w:rPr>
          <w:b w:val="0"/>
          <w:bCs w:val="0"/>
          <w:noProof/>
        </w:rPr>
      </w:pPr>
      <w:hyperlink w:anchor="_Toc186615049" w:history="1">
        <w:r w:rsidR="00F03E33" w:rsidRPr="001806A5">
          <w:rPr>
            <w:rStyle w:val="Hyperlink"/>
            <w:noProof/>
          </w:rPr>
          <w:t>V.</w:t>
        </w:r>
        <w:r w:rsidR="00F03E33">
          <w:rPr>
            <w:b w:val="0"/>
            <w:bCs w:val="0"/>
            <w:noProof/>
          </w:rPr>
          <w:tab/>
        </w:r>
        <w:r w:rsidR="00F03E33" w:rsidRPr="001806A5">
          <w:rPr>
            <w:rStyle w:val="Hyperlink"/>
            <w:noProof/>
          </w:rPr>
          <w:t>CONCLUSION</w:t>
        </w:r>
        <w:r w:rsidR="00F03E33">
          <w:rPr>
            <w:noProof/>
            <w:webHidden/>
          </w:rPr>
          <w:tab/>
        </w:r>
        <w:r w:rsidR="00F03E33">
          <w:rPr>
            <w:noProof/>
            <w:webHidden/>
          </w:rPr>
          <w:fldChar w:fldCharType="begin"/>
        </w:r>
        <w:r w:rsidR="00F03E33">
          <w:rPr>
            <w:noProof/>
            <w:webHidden/>
          </w:rPr>
          <w:instrText xml:space="preserve"> PAGEREF _Toc186615049 \h </w:instrText>
        </w:r>
        <w:r w:rsidR="00F03E33">
          <w:rPr>
            <w:noProof/>
            <w:webHidden/>
          </w:rPr>
        </w:r>
        <w:r w:rsidR="00F03E33">
          <w:rPr>
            <w:noProof/>
            <w:webHidden/>
          </w:rPr>
          <w:fldChar w:fldCharType="separate"/>
        </w:r>
        <w:r w:rsidR="00F01E8C">
          <w:rPr>
            <w:noProof/>
            <w:webHidden/>
          </w:rPr>
          <w:t>28</w:t>
        </w:r>
        <w:r w:rsidR="00F03E33">
          <w:rPr>
            <w:noProof/>
            <w:webHidden/>
          </w:rPr>
          <w:fldChar w:fldCharType="end"/>
        </w:r>
      </w:hyperlink>
    </w:p>
    <w:p w:rsidR="0044751E" w:rsidRPr="00A561E1" w:rsidRDefault="0044751E">
      <w:pPr>
        <w:spacing w:after="120"/>
        <w:rPr>
          <w:noProof/>
          <w:szCs w:val="22"/>
        </w:rPr>
      </w:pPr>
      <w:r w:rsidRPr="00A561E1">
        <w:rPr>
          <w:noProof/>
          <w:szCs w:val="22"/>
        </w:rPr>
        <w:fldChar w:fldCharType="end"/>
      </w:r>
    </w:p>
    <w:p w:rsidR="0044751E" w:rsidRPr="00A561E1" w:rsidRDefault="0044751E">
      <w:pPr>
        <w:pStyle w:val="Heading1"/>
        <w:rPr>
          <w:bCs/>
        </w:rPr>
      </w:pPr>
      <w:bookmarkStart w:id="3" w:name="_Toc186615014"/>
      <w:r w:rsidRPr="00A561E1">
        <w:rPr>
          <w:bCs/>
        </w:rPr>
        <w:t>LIST OF TABLES</w:t>
      </w:r>
      <w:bookmarkEnd w:id="3"/>
    </w:p>
    <w:p w:rsidR="0044751E" w:rsidRPr="00A561E1" w:rsidRDefault="0044751E">
      <w:pPr>
        <w:pStyle w:val="Heading1"/>
        <w:rPr>
          <w:bCs/>
        </w:rPr>
      </w:pPr>
    </w:p>
    <w:p w:rsidR="00F03E33" w:rsidRDefault="0044751E">
      <w:pPr>
        <w:pStyle w:val="TableofFigures"/>
        <w:rPr>
          <w:noProof/>
        </w:rPr>
      </w:pPr>
      <w:r w:rsidRPr="00A561E1">
        <w:rPr>
          <w:b/>
        </w:rPr>
        <w:fldChar w:fldCharType="begin"/>
      </w:r>
      <w:r w:rsidRPr="00A561E1">
        <w:rPr>
          <w:b/>
        </w:rPr>
        <w:instrText xml:space="preserve"> TOC \h \z \c "Table" </w:instrText>
      </w:r>
      <w:r w:rsidRPr="00A561E1">
        <w:rPr>
          <w:b/>
        </w:rPr>
        <w:fldChar w:fldCharType="separate"/>
      </w:r>
      <w:hyperlink w:anchor="_Toc186615050" w:history="1">
        <w:r w:rsidR="00F03E33" w:rsidRPr="003E722F">
          <w:rPr>
            <w:rStyle w:val="Hyperlink"/>
            <w:noProof/>
          </w:rPr>
          <w:t>Table 1.</w:t>
        </w:r>
        <w:r w:rsidR="00F03E33">
          <w:rPr>
            <w:noProof/>
          </w:rPr>
          <w:tab/>
        </w:r>
        <w:r w:rsidR="00F03E33" w:rsidRPr="003E722F">
          <w:rPr>
            <w:rStyle w:val="Hyperlink"/>
            <w:noProof/>
          </w:rPr>
          <w:t>Contract Status</w:t>
        </w:r>
        <w:r w:rsidR="00F03E33">
          <w:rPr>
            <w:noProof/>
            <w:webHidden/>
          </w:rPr>
          <w:tab/>
        </w:r>
        <w:r w:rsidR="00F03E33">
          <w:rPr>
            <w:noProof/>
            <w:webHidden/>
          </w:rPr>
          <w:fldChar w:fldCharType="begin"/>
        </w:r>
        <w:r w:rsidR="00F03E33">
          <w:rPr>
            <w:noProof/>
            <w:webHidden/>
          </w:rPr>
          <w:instrText xml:space="preserve"> PAGEREF _Toc186615050 \h </w:instrText>
        </w:r>
        <w:r w:rsidR="00F03E33">
          <w:rPr>
            <w:noProof/>
            <w:webHidden/>
          </w:rPr>
        </w:r>
        <w:r w:rsidR="00F03E33">
          <w:rPr>
            <w:noProof/>
            <w:webHidden/>
          </w:rPr>
          <w:fldChar w:fldCharType="separate"/>
        </w:r>
        <w:r w:rsidR="00F01E8C">
          <w:rPr>
            <w:noProof/>
            <w:webHidden/>
          </w:rPr>
          <w:t>3</w:t>
        </w:r>
        <w:r w:rsidR="00F03E33">
          <w:rPr>
            <w:noProof/>
            <w:webHidden/>
          </w:rPr>
          <w:fldChar w:fldCharType="end"/>
        </w:r>
      </w:hyperlink>
    </w:p>
    <w:p w:rsidR="00F03E33" w:rsidRDefault="007F6397">
      <w:pPr>
        <w:pStyle w:val="TableofFigures"/>
        <w:rPr>
          <w:noProof/>
        </w:rPr>
      </w:pPr>
      <w:hyperlink w:anchor="_Toc186615051" w:history="1">
        <w:r w:rsidR="00F03E33" w:rsidRPr="003E722F">
          <w:rPr>
            <w:rStyle w:val="Hyperlink"/>
            <w:noProof/>
          </w:rPr>
          <w:t>Table 2.</w:t>
        </w:r>
        <w:r w:rsidR="00F03E33">
          <w:rPr>
            <w:noProof/>
          </w:rPr>
          <w:tab/>
        </w:r>
        <w:r w:rsidR="00F03E33" w:rsidRPr="003E722F">
          <w:rPr>
            <w:rStyle w:val="Hyperlink"/>
            <w:noProof/>
          </w:rPr>
          <w:t>Project Financial Status (Through November 2007)</w:t>
        </w:r>
        <w:r w:rsidR="00F03E33">
          <w:rPr>
            <w:noProof/>
            <w:webHidden/>
          </w:rPr>
          <w:tab/>
        </w:r>
        <w:r w:rsidR="00F03E33">
          <w:rPr>
            <w:noProof/>
            <w:webHidden/>
          </w:rPr>
          <w:fldChar w:fldCharType="begin"/>
        </w:r>
        <w:r w:rsidR="00F03E33">
          <w:rPr>
            <w:noProof/>
            <w:webHidden/>
          </w:rPr>
          <w:instrText xml:space="preserve"> PAGEREF _Toc186615051 \h </w:instrText>
        </w:r>
        <w:r w:rsidR="00F03E33">
          <w:rPr>
            <w:noProof/>
            <w:webHidden/>
          </w:rPr>
        </w:r>
        <w:r w:rsidR="00F03E33">
          <w:rPr>
            <w:noProof/>
            <w:webHidden/>
          </w:rPr>
          <w:fldChar w:fldCharType="separate"/>
        </w:r>
        <w:r w:rsidR="00F01E8C">
          <w:rPr>
            <w:noProof/>
            <w:webHidden/>
          </w:rPr>
          <w:t>7</w:t>
        </w:r>
        <w:r w:rsidR="00F03E33">
          <w:rPr>
            <w:noProof/>
            <w:webHidden/>
          </w:rPr>
          <w:fldChar w:fldCharType="end"/>
        </w:r>
      </w:hyperlink>
    </w:p>
    <w:p w:rsidR="00F03E33" w:rsidRDefault="007F6397">
      <w:pPr>
        <w:pStyle w:val="TableofFigures"/>
        <w:rPr>
          <w:noProof/>
        </w:rPr>
      </w:pPr>
      <w:hyperlink w:anchor="_Toc186615052" w:history="1">
        <w:r w:rsidR="00F03E33" w:rsidRPr="003E722F">
          <w:rPr>
            <w:rStyle w:val="Hyperlink"/>
            <w:noProof/>
          </w:rPr>
          <w:t>Table 3.</w:t>
        </w:r>
        <w:r w:rsidR="00F03E33">
          <w:rPr>
            <w:noProof/>
          </w:rPr>
          <w:tab/>
        </w:r>
        <w:r w:rsidR="00F03E33" w:rsidRPr="003E722F">
          <w:rPr>
            <w:rStyle w:val="Hyperlink"/>
            <w:noProof/>
          </w:rPr>
          <w:t>2006 Top Ten Risks</w:t>
        </w:r>
        <w:r w:rsidR="00F03E33">
          <w:rPr>
            <w:noProof/>
            <w:webHidden/>
          </w:rPr>
          <w:tab/>
        </w:r>
        <w:r w:rsidR="00F03E33">
          <w:rPr>
            <w:noProof/>
            <w:webHidden/>
          </w:rPr>
          <w:fldChar w:fldCharType="begin"/>
        </w:r>
        <w:r w:rsidR="00F03E33">
          <w:rPr>
            <w:noProof/>
            <w:webHidden/>
          </w:rPr>
          <w:instrText xml:space="preserve"> PAGEREF _Toc186615052 \h </w:instrText>
        </w:r>
        <w:r w:rsidR="00F03E33">
          <w:rPr>
            <w:noProof/>
            <w:webHidden/>
          </w:rPr>
        </w:r>
        <w:r w:rsidR="00F03E33">
          <w:rPr>
            <w:noProof/>
            <w:webHidden/>
          </w:rPr>
          <w:fldChar w:fldCharType="separate"/>
        </w:r>
        <w:r w:rsidR="00F01E8C">
          <w:rPr>
            <w:noProof/>
            <w:webHidden/>
          </w:rPr>
          <w:t>8</w:t>
        </w:r>
        <w:r w:rsidR="00F03E33">
          <w:rPr>
            <w:noProof/>
            <w:webHidden/>
          </w:rPr>
          <w:fldChar w:fldCharType="end"/>
        </w:r>
      </w:hyperlink>
    </w:p>
    <w:p w:rsidR="00F03E33" w:rsidRDefault="007F6397">
      <w:pPr>
        <w:pStyle w:val="TableofFigures"/>
        <w:rPr>
          <w:noProof/>
        </w:rPr>
      </w:pPr>
      <w:hyperlink w:anchor="_Toc186615053" w:history="1">
        <w:r w:rsidR="00F03E33" w:rsidRPr="003E722F">
          <w:rPr>
            <w:rStyle w:val="Hyperlink"/>
            <w:noProof/>
          </w:rPr>
          <w:t>Table 4.</w:t>
        </w:r>
        <w:r w:rsidR="00F03E33">
          <w:rPr>
            <w:noProof/>
          </w:rPr>
          <w:tab/>
        </w:r>
        <w:r w:rsidR="00F03E33" w:rsidRPr="003E722F">
          <w:rPr>
            <w:rStyle w:val="Hyperlink"/>
            <w:noProof/>
          </w:rPr>
          <w:t>2007 Top Five Risks</w:t>
        </w:r>
        <w:r w:rsidR="00F03E33">
          <w:rPr>
            <w:noProof/>
            <w:webHidden/>
          </w:rPr>
          <w:tab/>
        </w:r>
        <w:r w:rsidR="00F03E33">
          <w:rPr>
            <w:noProof/>
            <w:webHidden/>
          </w:rPr>
          <w:fldChar w:fldCharType="begin"/>
        </w:r>
        <w:r w:rsidR="00F03E33">
          <w:rPr>
            <w:noProof/>
            <w:webHidden/>
          </w:rPr>
          <w:instrText xml:space="preserve"> PAGEREF _Toc186615053 \h </w:instrText>
        </w:r>
        <w:r w:rsidR="00F03E33">
          <w:rPr>
            <w:noProof/>
            <w:webHidden/>
          </w:rPr>
        </w:r>
        <w:r w:rsidR="00F03E33">
          <w:rPr>
            <w:noProof/>
            <w:webHidden/>
          </w:rPr>
          <w:fldChar w:fldCharType="separate"/>
        </w:r>
        <w:r w:rsidR="00F01E8C">
          <w:rPr>
            <w:noProof/>
            <w:webHidden/>
          </w:rPr>
          <w:t>12</w:t>
        </w:r>
        <w:r w:rsidR="00F03E33">
          <w:rPr>
            <w:noProof/>
            <w:webHidden/>
          </w:rPr>
          <w:fldChar w:fldCharType="end"/>
        </w:r>
      </w:hyperlink>
    </w:p>
    <w:p w:rsidR="00F03E33" w:rsidRDefault="007F6397">
      <w:pPr>
        <w:pStyle w:val="TableofFigures"/>
        <w:rPr>
          <w:noProof/>
        </w:rPr>
      </w:pPr>
      <w:hyperlink w:anchor="_Toc186615054" w:history="1">
        <w:r w:rsidR="00F03E33" w:rsidRPr="003E722F">
          <w:rPr>
            <w:rStyle w:val="Hyperlink"/>
            <w:noProof/>
          </w:rPr>
          <w:t>Table 5.</w:t>
        </w:r>
        <w:r w:rsidR="00F03E33">
          <w:rPr>
            <w:noProof/>
          </w:rPr>
          <w:tab/>
        </w:r>
        <w:r w:rsidR="00F03E33" w:rsidRPr="003E722F">
          <w:rPr>
            <w:rStyle w:val="Hyperlink"/>
            <w:noProof/>
          </w:rPr>
          <w:t>Total Project Cost Probabilities</w:t>
        </w:r>
        <w:r w:rsidR="00F03E33">
          <w:rPr>
            <w:noProof/>
            <w:webHidden/>
          </w:rPr>
          <w:tab/>
        </w:r>
        <w:r w:rsidR="00F03E33">
          <w:rPr>
            <w:noProof/>
            <w:webHidden/>
          </w:rPr>
          <w:fldChar w:fldCharType="begin"/>
        </w:r>
        <w:r w:rsidR="00F03E33">
          <w:rPr>
            <w:noProof/>
            <w:webHidden/>
          </w:rPr>
          <w:instrText xml:space="preserve"> PAGEREF _Toc186615054 \h </w:instrText>
        </w:r>
        <w:r w:rsidR="00F03E33">
          <w:rPr>
            <w:noProof/>
            <w:webHidden/>
          </w:rPr>
        </w:r>
        <w:r w:rsidR="00F03E33">
          <w:rPr>
            <w:noProof/>
            <w:webHidden/>
          </w:rPr>
          <w:fldChar w:fldCharType="separate"/>
        </w:r>
        <w:r w:rsidR="00F01E8C">
          <w:rPr>
            <w:noProof/>
            <w:webHidden/>
          </w:rPr>
          <w:t>12</w:t>
        </w:r>
        <w:r w:rsidR="00F03E33">
          <w:rPr>
            <w:noProof/>
            <w:webHidden/>
          </w:rPr>
          <w:fldChar w:fldCharType="end"/>
        </w:r>
      </w:hyperlink>
    </w:p>
    <w:p w:rsidR="00F03E33" w:rsidRDefault="007F6397">
      <w:pPr>
        <w:pStyle w:val="TableofFigures"/>
        <w:rPr>
          <w:noProof/>
        </w:rPr>
      </w:pPr>
      <w:hyperlink w:anchor="_Toc186615055" w:history="1">
        <w:r w:rsidR="00F03E33" w:rsidRPr="003E722F">
          <w:rPr>
            <w:rStyle w:val="Hyperlink"/>
            <w:noProof/>
          </w:rPr>
          <w:t>Table 6.</w:t>
        </w:r>
        <w:r w:rsidR="00F03E33">
          <w:rPr>
            <w:noProof/>
          </w:rPr>
          <w:tab/>
        </w:r>
        <w:r w:rsidR="00F03E33" w:rsidRPr="003E722F">
          <w:rPr>
            <w:rStyle w:val="Hyperlink"/>
            <w:noProof/>
          </w:rPr>
          <w:t>Funding Sources</w:t>
        </w:r>
        <w:r w:rsidR="00F03E33">
          <w:rPr>
            <w:noProof/>
            <w:webHidden/>
          </w:rPr>
          <w:tab/>
        </w:r>
        <w:r w:rsidR="00F03E33">
          <w:rPr>
            <w:noProof/>
            <w:webHidden/>
          </w:rPr>
          <w:fldChar w:fldCharType="begin"/>
        </w:r>
        <w:r w:rsidR="00F03E33">
          <w:rPr>
            <w:noProof/>
            <w:webHidden/>
          </w:rPr>
          <w:instrText xml:space="preserve"> PAGEREF _Toc186615055 \h </w:instrText>
        </w:r>
        <w:r w:rsidR="00F03E33">
          <w:rPr>
            <w:noProof/>
            <w:webHidden/>
          </w:rPr>
        </w:r>
        <w:r w:rsidR="00F03E33">
          <w:rPr>
            <w:noProof/>
            <w:webHidden/>
          </w:rPr>
          <w:fldChar w:fldCharType="separate"/>
        </w:r>
        <w:r w:rsidR="00F01E8C">
          <w:rPr>
            <w:noProof/>
            <w:webHidden/>
          </w:rPr>
          <w:t>19</w:t>
        </w:r>
        <w:r w:rsidR="00F03E33">
          <w:rPr>
            <w:noProof/>
            <w:webHidden/>
          </w:rPr>
          <w:fldChar w:fldCharType="end"/>
        </w:r>
      </w:hyperlink>
    </w:p>
    <w:p w:rsidR="0044751E" w:rsidRPr="00A561E1" w:rsidRDefault="0044751E">
      <w:pPr>
        <w:pStyle w:val="Heading1"/>
        <w:tabs>
          <w:tab w:val="left" w:pos="1440"/>
          <w:tab w:val="right" w:leader="dot" w:pos="9346"/>
        </w:tabs>
        <w:spacing w:after="120"/>
      </w:pPr>
      <w:r w:rsidRPr="00A561E1">
        <w:rPr>
          <w:rFonts w:ascii="Times New Roman" w:hAnsi="Times New Roman"/>
          <w:b w:val="0"/>
        </w:rPr>
        <w:fldChar w:fldCharType="end"/>
      </w:r>
    </w:p>
    <w:p w:rsidR="0044751E" w:rsidRPr="00A561E1" w:rsidRDefault="0044751E">
      <w:pPr>
        <w:pStyle w:val="Heading1"/>
        <w:rPr>
          <w:bCs/>
        </w:rPr>
      </w:pPr>
      <w:bookmarkStart w:id="4" w:name="_Toc186603132"/>
      <w:bookmarkStart w:id="5" w:name="_Toc186603589"/>
      <w:bookmarkStart w:id="6" w:name="_Toc186615015"/>
      <w:r w:rsidRPr="00A561E1">
        <w:rPr>
          <w:bCs/>
        </w:rPr>
        <w:t>LIST OF FIGURES</w:t>
      </w:r>
      <w:bookmarkEnd w:id="4"/>
      <w:bookmarkEnd w:id="5"/>
      <w:bookmarkEnd w:id="6"/>
    </w:p>
    <w:p w:rsidR="0044751E" w:rsidRPr="00A561E1" w:rsidRDefault="0044751E">
      <w:pPr>
        <w:pStyle w:val="Heading1"/>
      </w:pPr>
    </w:p>
    <w:p w:rsidR="00F03E33" w:rsidRDefault="0044751E">
      <w:pPr>
        <w:pStyle w:val="TableofFigures"/>
        <w:rPr>
          <w:noProof/>
        </w:rPr>
      </w:pPr>
      <w:r w:rsidRPr="00A561E1">
        <w:fldChar w:fldCharType="begin"/>
      </w:r>
      <w:r w:rsidRPr="00A561E1">
        <w:instrText xml:space="preserve"> TOC \h \z \c "Figure" </w:instrText>
      </w:r>
      <w:r w:rsidRPr="00A561E1">
        <w:fldChar w:fldCharType="separate"/>
      </w:r>
      <w:hyperlink w:anchor="_Toc186615056" w:history="1">
        <w:r w:rsidR="00F03E33" w:rsidRPr="003C46D7">
          <w:rPr>
            <w:rStyle w:val="Hyperlink"/>
            <w:noProof/>
          </w:rPr>
          <w:t>Figure 1.</w:t>
        </w:r>
        <w:r w:rsidR="00F03E33">
          <w:rPr>
            <w:noProof/>
          </w:rPr>
          <w:tab/>
        </w:r>
        <w:r w:rsidR="00F03E33" w:rsidRPr="003C46D7">
          <w:rPr>
            <w:rStyle w:val="Hyperlink"/>
            <w:noProof/>
          </w:rPr>
          <w:t>Probability of Underrun for Total Project Cost (S-curve)</w:t>
        </w:r>
        <w:r w:rsidR="00F03E33">
          <w:rPr>
            <w:noProof/>
            <w:webHidden/>
          </w:rPr>
          <w:tab/>
        </w:r>
        <w:r w:rsidR="00F03E33">
          <w:rPr>
            <w:noProof/>
            <w:webHidden/>
          </w:rPr>
          <w:fldChar w:fldCharType="begin"/>
        </w:r>
        <w:r w:rsidR="00F03E33">
          <w:rPr>
            <w:noProof/>
            <w:webHidden/>
          </w:rPr>
          <w:instrText xml:space="preserve"> PAGEREF _Toc186615056 \h </w:instrText>
        </w:r>
        <w:r w:rsidR="00F03E33">
          <w:rPr>
            <w:noProof/>
            <w:webHidden/>
          </w:rPr>
        </w:r>
        <w:r w:rsidR="00F03E33">
          <w:rPr>
            <w:noProof/>
            <w:webHidden/>
          </w:rPr>
          <w:fldChar w:fldCharType="separate"/>
        </w:r>
        <w:r w:rsidR="00F01E8C">
          <w:rPr>
            <w:noProof/>
            <w:webHidden/>
          </w:rPr>
          <w:t>13</w:t>
        </w:r>
        <w:r w:rsidR="00F03E33">
          <w:rPr>
            <w:noProof/>
            <w:webHidden/>
          </w:rPr>
          <w:fldChar w:fldCharType="end"/>
        </w:r>
      </w:hyperlink>
    </w:p>
    <w:p w:rsidR="0064651B" w:rsidRPr="00A561E1" w:rsidRDefault="0044751E">
      <w:pPr>
        <w:pStyle w:val="Heading1"/>
      </w:pPr>
      <w:r w:rsidRPr="00A561E1">
        <w:fldChar w:fldCharType="end"/>
      </w:r>
    </w:p>
    <w:p w:rsidR="0064651B" w:rsidRPr="00A561E1" w:rsidRDefault="00DB5919">
      <w:pPr>
        <w:pStyle w:val="Heading1"/>
      </w:pPr>
      <w:bookmarkStart w:id="7" w:name="_Toc186615016"/>
      <w:r w:rsidRPr="00A561E1">
        <w:t xml:space="preserve">LIST OF </w:t>
      </w:r>
      <w:r w:rsidR="0064651B" w:rsidRPr="00A561E1">
        <w:t>APPENDI</w:t>
      </w:r>
      <w:r w:rsidRPr="00A561E1">
        <w:t>CES</w:t>
      </w:r>
      <w:bookmarkEnd w:id="7"/>
    </w:p>
    <w:p w:rsidR="000D1540" w:rsidRPr="00A561E1" w:rsidRDefault="000D1540" w:rsidP="0064651B">
      <w:pPr>
        <w:pStyle w:val="Heading1"/>
        <w:jc w:val="left"/>
      </w:pPr>
    </w:p>
    <w:p w:rsidR="00AF49D0" w:rsidRPr="00A561E1" w:rsidRDefault="00AD1C56" w:rsidP="00AD1C56">
      <w:pPr>
        <w:pStyle w:val="TableofFigures"/>
      </w:pPr>
      <w:r w:rsidRPr="00A561E1">
        <w:t>Appendix A</w:t>
      </w:r>
      <w:r w:rsidR="00137623" w:rsidRPr="00A561E1">
        <w:t>:</w:t>
      </w:r>
      <w:r w:rsidRPr="00A561E1">
        <w:tab/>
      </w:r>
      <w:r w:rsidR="000D1540" w:rsidRPr="00A561E1">
        <w:t>Project Chronology</w:t>
      </w:r>
      <w:r w:rsidR="00AF49D0" w:rsidRPr="00A561E1">
        <w:tab/>
        <w:t>A-1</w:t>
      </w:r>
    </w:p>
    <w:p w:rsidR="0044751E" w:rsidRPr="00A561E1" w:rsidRDefault="0044751E" w:rsidP="000D1540">
      <w:pPr>
        <w:pStyle w:val="Heading1"/>
        <w:jc w:val="left"/>
        <w:rPr>
          <w:bCs/>
        </w:rPr>
      </w:pPr>
      <w:r w:rsidRPr="00A561E1">
        <w:br w:type="page"/>
      </w:r>
      <w:bookmarkStart w:id="8" w:name="_Toc156812192"/>
      <w:bookmarkStart w:id="9" w:name="_Toc156812229"/>
      <w:bookmarkStart w:id="10" w:name="_Toc156883926"/>
      <w:bookmarkStart w:id="11" w:name="_Toc156886211"/>
      <w:bookmarkStart w:id="12" w:name="_Toc156886330"/>
      <w:bookmarkStart w:id="13" w:name="_Toc156894713"/>
      <w:bookmarkStart w:id="14" w:name="_Toc157229860"/>
      <w:bookmarkStart w:id="15" w:name="_Toc157230518"/>
      <w:bookmarkStart w:id="16" w:name="_Toc157253993"/>
      <w:bookmarkStart w:id="17" w:name="_Toc157254228"/>
      <w:bookmarkStart w:id="18" w:name="_Toc157254273"/>
      <w:bookmarkStart w:id="19" w:name="_Toc158091905"/>
      <w:bookmarkStart w:id="20" w:name="_Toc158705632"/>
      <w:bookmarkStart w:id="21" w:name="_Toc158706225"/>
      <w:bookmarkStart w:id="22" w:name="_Toc158706288"/>
      <w:bookmarkStart w:id="23" w:name="_Toc159834304"/>
      <w:bookmarkStart w:id="24" w:name="_Toc159834704"/>
      <w:bookmarkStart w:id="25" w:name="_Toc159902849"/>
      <w:bookmarkStart w:id="26" w:name="_Toc159903027"/>
      <w:bookmarkStart w:id="27" w:name="_Toc165428859"/>
      <w:bookmarkStart w:id="28" w:name="_Toc165429179"/>
      <w:bookmarkStart w:id="29" w:name="_Toc167163020"/>
      <w:bookmarkStart w:id="30" w:name="_Toc167163228"/>
      <w:bookmarkStart w:id="31" w:name="_Toc167175947"/>
      <w:bookmarkStart w:id="32" w:name="_Toc168293934"/>
      <w:bookmarkStart w:id="33" w:name="_Toc168297137"/>
      <w:bookmarkStart w:id="34" w:name="_Toc180120799"/>
      <w:bookmarkStart w:id="35" w:name="_Toc180121450"/>
      <w:bookmarkStart w:id="36" w:name="_Toc182840964"/>
      <w:bookmarkStart w:id="37" w:name="_Toc183323055"/>
      <w:bookmarkStart w:id="38" w:name="_Toc183337311"/>
      <w:bookmarkStart w:id="39" w:name="_Toc183337404"/>
      <w:bookmarkStart w:id="40" w:name="_Toc184445609"/>
      <w:bookmarkStart w:id="41" w:name="_Toc184695086"/>
      <w:bookmarkStart w:id="42" w:name="_Toc184699113"/>
      <w:bookmarkStart w:id="43" w:name="_Toc186615017"/>
      <w:r w:rsidRPr="00A561E1">
        <w:rPr>
          <w:bCs/>
        </w:rPr>
        <w:t>LIST OF ACRONYMS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4751E" w:rsidRPr="00A561E1" w:rsidRDefault="0044751E"/>
    <w:tbl>
      <w:tblPr>
        <w:tblW w:w="0" w:type="auto"/>
        <w:jc w:val="center"/>
        <w:tblInd w:w="-18" w:type="dxa"/>
        <w:tblLayout w:type="fixed"/>
        <w:tblCellMar>
          <w:left w:w="0" w:type="dxa"/>
          <w:right w:w="0" w:type="dxa"/>
        </w:tblCellMar>
        <w:tblLook w:val="0000" w:firstRow="0" w:lastRow="0" w:firstColumn="0" w:lastColumn="0" w:noHBand="0" w:noVBand="0"/>
      </w:tblPr>
      <w:tblGrid>
        <w:gridCol w:w="1352"/>
        <w:gridCol w:w="540"/>
        <w:gridCol w:w="6572"/>
      </w:tblGrid>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ARP</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Amended Recovery Plan</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BCE</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Base Cost Estimate</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BFMP</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Bus Fleet Management Plan</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BNSF</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smartTag w:uri="urn:schemas-microsoft-com:office:smarttags" w:element="place">
              <w:smartTag w:uri="urn:schemas-microsoft-com:office:smarttags" w:element="City">
                <w:r w:rsidRPr="00A561E1">
                  <w:t>Burlington</w:t>
                </w:r>
              </w:smartTag>
            </w:smartTag>
            <w:r w:rsidRPr="00A561E1">
              <w:t xml:space="preserve"> Northern-Santa Fe Railroad</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CFR</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Code of Federal Regulations</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CM</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Construction Manager</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CPM</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Critical Path Method</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CPUC</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smartTag w:uri="urn:schemas-microsoft-com:office:smarttags" w:element="place">
              <w:smartTag w:uri="urn:schemas-microsoft-com:office:smarttags" w:element="State">
                <w:r w:rsidRPr="00A561E1">
                  <w:t>California</w:t>
                </w:r>
              </w:smartTag>
            </w:smartTag>
            <w:r w:rsidRPr="00A561E1">
              <w:t xml:space="preserve"> Public Utilities Commission</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DCN</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Design Change Notice</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DMU</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Diesel Multiple Unit</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DSDC</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Design Services During Construction</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EAC</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Estimate at Completion</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FFGA</w:t>
            </w:r>
          </w:p>
        </w:tc>
        <w:tc>
          <w:tcPr>
            <w:tcW w:w="540" w:type="dxa"/>
            <w:tcBorders>
              <w:top w:val="nil"/>
              <w:left w:val="nil"/>
              <w:bottom w:val="nil"/>
              <w:right w:val="nil"/>
            </w:tcBorders>
            <w:vAlign w:val="center"/>
          </w:tcPr>
          <w:p w:rsidR="0044751E" w:rsidRPr="00A561E1" w:rsidRDefault="0044751E">
            <w:pPr>
              <w:jc w:val="center"/>
              <w:rPr>
                <w:u w:val="single"/>
              </w:rPr>
            </w:pPr>
            <w:r w:rsidRPr="00A561E1">
              <w:t>▪</w:t>
            </w:r>
          </w:p>
        </w:tc>
        <w:tc>
          <w:tcPr>
            <w:tcW w:w="6572" w:type="dxa"/>
            <w:tcBorders>
              <w:top w:val="nil"/>
              <w:left w:val="nil"/>
              <w:bottom w:val="nil"/>
              <w:right w:val="nil"/>
            </w:tcBorders>
            <w:vAlign w:val="center"/>
          </w:tcPr>
          <w:p w:rsidR="0044751E" w:rsidRPr="00A561E1" w:rsidRDefault="0044751E">
            <w:r w:rsidRPr="00A561E1">
              <w:t>Full Funding Grant Agreement</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FTA</w:t>
            </w:r>
          </w:p>
        </w:tc>
        <w:tc>
          <w:tcPr>
            <w:tcW w:w="540" w:type="dxa"/>
            <w:tcBorders>
              <w:top w:val="nil"/>
              <w:left w:val="nil"/>
              <w:bottom w:val="nil"/>
              <w:right w:val="nil"/>
            </w:tcBorders>
            <w:vAlign w:val="center"/>
          </w:tcPr>
          <w:p w:rsidR="0044751E" w:rsidRPr="00A561E1" w:rsidRDefault="0044751E">
            <w:pPr>
              <w:jc w:val="center"/>
              <w:rPr>
                <w:u w:val="single"/>
              </w:rPr>
            </w:pPr>
            <w:r w:rsidRPr="00A561E1">
              <w:t>▪</w:t>
            </w:r>
          </w:p>
        </w:tc>
        <w:tc>
          <w:tcPr>
            <w:tcW w:w="6572" w:type="dxa"/>
            <w:tcBorders>
              <w:top w:val="nil"/>
              <w:left w:val="nil"/>
              <w:bottom w:val="nil"/>
              <w:right w:val="nil"/>
            </w:tcBorders>
            <w:vAlign w:val="center"/>
          </w:tcPr>
          <w:p w:rsidR="0044751E" w:rsidRPr="00A561E1" w:rsidRDefault="0044751E">
            <w:r w:rsidRPr="00A561E1">
              <w:t>Federal Transit Administration</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NCTD</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North County Transit District</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PMOC</w:t>
            </w:r>
          </w:p>
        </w:tc>
        <w:tc>
          <w:tcPr>
            <w:tcW w:w="540" w:type="dxa"/>
            <w:tcBorders>
              <w:top w:val="nil"/>
              <w:left w:val="nil"/>
              <w:bottom w:val="nil"/>
              <w:right w:val="nil"/>
            </w:tcBorders>
            <w:vAlign w:val="center"/>
          </w:tcPr>
          <w:p w:rsidR="0044751E" w:rsidRPr="00A561E1" w:rsidRDefault="0044751E">
            <w:pPr>
              <w:jc w:val="center"/>
              <w:rPr>
                <w:u w:val="single"/>
              </w:rPr>
            </w:pPr>
            <w:r w:rsidRPr="00A561E1">
              <w:t>▪</w:t>
            </w:r>
          </w:p>
        </w:tc>
        <w:tc>
          <w:tcPr>
            <w:tcW w:w="6572" w:type="dxa"/>
            <w:tcBorders>
              <w:top w:val="nil"/>
              <w:left w:val="nil"/>
              <w:bottom w:val="nil"/>
              <w:right w:val="nil"/>
            </w:tcBorders>
            <w:vAlign w:val="center"/>
          </w:tcPr>
          <w:p w:rsidR="0044751E" w:rsidRPr="00A561E1" w:rsidRDefault="0044751E">
            <w:r w:rsidRPr="00A561E1">
              <w:t>Project Management Oversight Contractor</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PMOOG</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Program Management Oversight Operating Guidance</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PMP</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Project Management Plan</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QA/QC</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Quality Assurance/Quality Control</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QPP</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Quality Program Plan</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RAG</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Rail Activation Group</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REAMP</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Real Estate Acquisition and Management Plan</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RFMP</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Rail Fleet Management Plan</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ROD</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Revenue Operations Date</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SANDAG</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smartTag w:uri="urn:schemas-microsoft-com:office:smarttags" w:element="place">
              <w:smartTag w:uri="urn:schemas-microsoft-com:office:smarttags" w:element="City">
                <w:r w:rsidRPr="00A561E1">
                  <w:t>San Diego</w:t>
                </w:r>
              </w:smartTag>
            </w:smartTag>
            <w:r w:rsidRPr="00A561E1">
              <w:t xml:space="preserve"> Association of Governments</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VMF</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Vehicle Maintenance Facility</w:t>
            </w:r>
          </w:p>
        </w:tc>
      </w:tr>
      <w:tr w:rsidR="0044751E" w:rsidRPr="00A561E1">
        <w:trPr>
          <w:trHeight w:val="315"/>
          <w:jc w:val="center"/>
        </w:trPr>
        <w:tc>
          <w:tcPr>
            <w:tcW w:w="1352" w:type="dxa"/>
            <w:tcBorders>
              <w:top w:val="nil"/>
              <w:left w:val="nil"/>
              <w:bottom w:val="nil"/>
              <w:right w:val="nil"/>
            </w:tcBorders>
            <w:vAlign w:val="center"/>
          </w:tcPr>
          <w:p w:rsidR="0044751E" w:rsidRPr="00A561E1" w:rsidRDefault="0044751E">
            <w:r w:rsidRPr="00A561E1">
              <w:t>VPI</w:t>
            </w:r>
          </w:p>
        </w:tc>
        <w:tc>
          <w:tcPr>
            <w:tcW w:w="540" w:type="dxa"/>
            <w:tcBorders>
              <w:top w:val="nil"/>
              <w:left w:val="nil"/>
              <w:bottom w:val="nil"/>
              <w:right w:val="nil"/>
            </w:tcBorders>
            <w:vAlign w:val="center"/>
          </w:tcPr>
          <w:p w:rsidR="0044751E" w:rsidRPr="00A561E1" w:rsidRDefault="0044751E">
            <w:pPr>
              <w:jc w:val="center"/>
            </w:pPr>
            <w:r w:rsidRPr="00A561E1">
              <w:t>▪</w:t>
            </w:r>
          </w:p>
        </w:tc>
        <w:tc>
          <w:tcPr>
            <w:tcW w:w="6572" w:type="dxa"/>
            <w:tcBorders>
              <w:top w:val="nil"/>
              <w:left w:val="nil"/>
              <w:bottom w:val="nil"/>
              <w:right w:val="nil"/>
            </w:tcBorders>
            <w:vAlign w:val="center"/>
          </w:tcPr>
          <w:p w:rsidR="0044751E" w:rsidRPr="00A561E1" w:rsidRDefault="0044751E">
            <w:r w:rsidRPr="00A561E1">
              <w:t>Vital Processor Interlocking</w:t>
            </w:r>
          </w:p>
        </w:tc>
      </w:tr>
    </w:tbl>
    <w:p w:rsidR="0044751E" w:rsidRPr="00A561E1" w:rsidRDefault="0044751E">
      <w:pPr>
        <w:sectPr w:rsidR="0044751E" w:rsidRPr="00A561E1">
          <w:headerReference w:type="first" r:id="rId11"/>
          <w:footerReference w:type="first" r:id="rId12"/>
          <w:pgSz w:w="12240" w:h="15840" w:code="1"/>
          <w:pgMar w:top="1440" w:right="1440" w:bottom="1728" w:left="1440" w:header="720" w:footer="720" w:gutter="0"/>
          <w:pgNumType w:fmt="lowerRoman" w:start="1"/>
          <w:cols w:space="720"/>
          <w:titlePg/>
          <w:docGrid w:linePitch="360"/>
        </w:sectPr>
      </w:pPr>
    </w:p>
    <w:p w:rsidR="0044751E" w:rsidRPr="00A561E1" w:rsidRDefault="0044751E">
      <w:pPr>
        <w:pStyle w:val="Heading1"/>
        <w:keepNext w:val="0"/>
      </w:pPr>
      <w:bookmarkStart w:id="44" w:name="_Toc138584367"/>
      <w:bookmarkStart w:id="45" w:name="_Toc186615018"/>
      <w:bookmarkStart w:id="46" w:name="_Toc533499380"/>
      <w:bookmarkStart w:id="47" w:name="_Toc25641981"/>
      <w:r w:rsidRPr="00A561E1">
        <w:t>EXECUTIVE SUMMARY</w:t>
      </w:r>
      <w:bookmarkEnd w:id="44"/>
      <w:bookmarkEnd w:id="45"/>
    </w:p>
    <w:p w:rsidR="0044751E" w:rsidRPr="00A561E1" w:rsidRDefault="0044751E"/>
    <w:p w:rsidR="0044751E" w:rsidRPr="00A561E1" w:rsidRDefault="0044751E">
      <w:pPr>
        <w:keepNext/>
        <w:rPr>
          <w:b/>
        </w:rPr>
      </w:pPr>
      <w:r w:rsidRPr="00A561E1">
        <w:rPr>
          <w:b/>
        </w:rPr>
        <w:t>A.</w:t>
      </w:r>
      <w:r w:rsidRPr="00A561E1">
        <w:rPr>
          <w:b/>
        </w:rPr>
        <w:tab/>
        <w:t>Introduction</w:t>
      </w:r>
    </w:p>
    <w:p w:rsidR="0044751E" w:rsidRPr="00A561E1" w:rsidRDefault="0044751E">
      <w:pPr>
        <w:keepNext/>
      </w:pPr>
    </w:p>
    <w:p w:rsidR="00010402" w:rsidRPr="00A561E1" w:rsidRDefault="0064651B" w:rsidP="00010402">
      <w:r w:rsidRPr="00A561E1">
        <w:t xml:space="preserve">To support FTA’s decision to amend the Full Funding Grant Agreement (FFGA) for the North County Transit District’s (NCTD) Oceanside-Escondido (SPRINTER) Rail </w:t>
      </w:r>
      <w:r w:rsidR="00686F42" w:rsidRPr="00A561E1">
        <w:t>Project,</w:t>
      </w:r>
      <w:r w:rsidRPr="00A561E1">
        <w:t xml:space="preserve"> the </w:t>
      </w:r>
      <w:r w:rsidR="0044751E" w:rsidRPr="00A561E1">
        <w:t xml:space="preserve">Project Management Oversight Contractor (PMOC) has </w:t>
      </w:r>
      <w:r w:rsidRPr="00A561E1">
        <w:t xml:space="preserve">assessed the project budget and schedule in light of the progress of work to date.  The PMOC has reviewed the FFGA Amendment, its Attachments and its related supporting documents.  Finally, the PMOC has </w:t>
      </w:r>
      <w:r w:rsidR="00010402" w:rsidRPr="00A561E1">
        <w:t xml:space="preserve">re-evaluated NCTD’s technical capacity and capability to complete the project within the scope, schedule, and budget as described in the proposed FFGA Amendment and in </w:t>
      </w:r>
      <w:r w:rsidR="004A2346">
        <w:t xml:space="preserve">Revision 5 of </w:t>
      </w:r>
      <w:r w:rsidR="00010402" w:rsidRPr="00A561E1">
        <w:t>NCTD’s Project Management Plan (PMP).</w:t>
      </w:r>
    </w:p>
    <w:p w:rsidR="00010402" w:rsidRPr="00A561E1" w:rsidRDefault="00010402" w:rsidP="00010402"/>
    <w:p w:rsidR="00010402" w:rsidRPr="00A561E1" w:rsidRDefault="00010402">
      <w:r w:rsidRPr="00A561E1">
        <w:t xml:space="preserve">This report, </w:t>
      </w:r>
      <w:r w:rsidR="0044751E" w:rsidRPr="00A561E1">
        <w:t xml:space="preserve">Spot Report </w:t>
      </w:r>
      <w:smartTag w:uri="urn:schemas-microsoft-com:office:smarttags" w:element="PersonName">
        <w:r w:rsidR="0044751E" w:rsidRPr="00A561E1">
          <w:t>#</w:t>
        </w:r>
      </w:smartTag>
      <w:r w:rsidR="0044751E" w:rsidRPr="00A561E1">
        <w:t>11</w:t>
      </w:r>
      <w:r w:rsidRPr="00A561E1">
        <w:t xml:space="preserve">, includes the PMOC’s findings and conclusions as well as its recommendation to FTA to proceed with the FFGA Amendment. </w:t>
      </w:r>
    </w:p>
    <w:p w:rsidR="00010402" w:rsidRPr="00A561E1" w:rsidRDefault="00010402"/>
    <w:p w:rsidR="0044751E" w:rsidRPr="00A561E1" w:rsidRDefault="0044751E">
      <w:pPr>
        <w:keepNext/>
        <w:rPr>
          <w:b/>
        </w:rPr>
      </w:pPr>
      <w:r w:rsidRPr="00A561E1">
        <w:rPr>
          <w:b/>
        </w:rPr>
        <w:t>B.</w:t>
      </w:r>
      <w:r w:rsidRPr="00A561E1">
        <w:rPr>
          <w:b/>
        </w:rPr>
        <w:tab/>
        <w:t>Project Status</w:t>
      </w:r>
    </w:p>
    <w:p w:rsidR="0044751E" w:rsidRPr="00A561E1" w:rsidRDefault="0044751E">
      <w:pPr>
        <w:keepNext/>
      </w:pPr>
    </w:p>
    <w:p w:rsidR="00605604" w:rsidRDefault="00010402">
      <w:r w:rsidRPr="00A561E1">
        <w:t>The P</w:t>
      </w:r>
      <w:r w:rsidR="0044751E" w:rsidRPr="00A561E1">
        <w:t xml:space="preserve">roject </w:t>
      </w:r>
      <w:r w:rsidRPr="00A561E1">
        <w:t>is</w:t>
      </w:r>
      <w:r w:rsidR="0044751E" w:rsidRPr="00A561E1">
        <w:t xml:space="preserve"> 8</w:t>
      </w:r>
      <w:r w:rsidR="00E755DB" w:rsidRPr="00A561E1">
        <w:t>4</w:t>
      </w:r>
      <w:r w:rsidR="0044751E" w:rsidRPr="00A561E1">
        <w:t>% complete with construction 9</w:t>
      </w:r>
      <w:r w:rsidR="00E755DB" w:rsidRPr="00A561E1">
        <w:t>4</w:t>
      </w:r>
      <w:r w:rsidR="0044751E" w:rsidRPr="00A561E1">
        <w:t xml:space="preserve">% complete (based on the overall Project Budget of $484.1M).  </w:t>
      </w:r>
      <w:r w:rsidRPr="00A561E1">
        <w:t xml:space="preserve">All </w:t>
      </w:r>
      <w:r w:rsidR="0044751E" w:rsidRPr="00A561E1">
        <w:t xml:space="preserve">consultant, construction, </w:t>
      </w:r>
      <w:r w:rsidRPr="00A561E1">
        <w:t xml:space="preserve">and </w:t>
      </w:r>
      <w:r w:rsidR="0044751E" w:rsidRPr="00A561E1">
        <w:t xml:space="preserve">procurement contracts </w:t>
      </w:r>
      <w:r w:rsidRPr="00A561E1">
        <w:t>have been a</w:t>
      </w:r>
      <w:r w:rsidR="0044751E" w:rsidRPr="00A561E1">
        <w:t xml:space="preserve">warded for the Project. Construction is complete on the </w:t>
      </w:r>
      <w:r w:rsidR="00DA6286" w:rsidRPr="00A561E1">
        <w:t xml:space="preserve">San Marcos </w:t>
      </w:r>
      <w:r w:rsidR="0044751E" w:rsidRPr="00A561E1">
        <w:t xml:space="preserve">Loop Contract and </w:t>
      </w:r>
      <w:r w:rsidR="00952223" w:rsidRPr="00A561E1">
        <w:t>Vehicle Maintenance Facility</w:t>
      </w:r>
      <w:r w:rsidR="00FA1300" w:rsidRPr="00A561E1">
        <w:t xml:space="preserve"> (VMF)</w:t>
      </w:r>
      <w:r w:rsidR="00952223" w:rsidRPr="00A561E1">
        <w:t>.  The Main</w:t>
      </w:r>
      <w:r w:rsidR="00C53511" w:rsidRPr="00A561E1">
        <w:t>line and Stations Contract is 9</w:t>
      </w:r>
      <w:r w:rsidR="00E755DB" w:rsidRPr="00A561E1">
        <w:t>3%</w:t>
      </w:r>
      <w:r w:rsidR="00952223" w:rsidRPr="00A561E1">
        <w:t xml:space="preserve"> complete</w:t>
      </w:r>
      <w:r w:rsidR="0044751E" w:rsidRPr="00A561E1">
        <w:t xml:space="preserve">.  All 12 Diesel Multiple Unit (DMU) vehicles have been received, have been conditionally accepted, and are undergoing burn-in.  </w:t>
      </w:r>
      <w:r w:rsidR="00605604" w:rsidRPr="00A561E1">
        <w:t xml:space="preserve">Burn-in of the DMUs may extend beyond the start of </w:t>
      </w:r>
      <w:r w:rsidR="00C477FC" w:rsidRPr="00A561E1">
        <w:t xml:space="preserve">initial </w:t>
      </w:r>
      <w:r w:rsidR="00605604" w:rsidRPr="00A561E1">
        <w:t>revenue service, but this wi</w:t>
      </w:r>
      <w:r w:rsidR="00B30951" w:rsidRPr="00A561E1">
        <w:t>ll not impact NCTD’s operations since this is a warranty issue and not tied to safety certification requirements.</w:t>
      </w:r>
    </w:p>
    <w:p w:rsidR="00FD62C1" w:rsidRPr="00A561E1" w:rsidRDefault="00FD62C1"/>
    <w:p w:rsidR="00FD62C1" w:rsidRPr="00A561E1" w:rsidRDefault="00FD62C1" w:rsidP="00FD62C1">
      <w:r w:rsidRPr="00A561E1">
        <w:t xml:space="preserve">For NCTD to begin any revenue service, it must fully complete all testing, training, and the safety certification process to the satisfaction of the California Public Utilities Commission (CPUC).  In the PMOC’s opinion, it is likely that the work will be completed and the approval will be received from CPUC in </w:t>
      </w:r>
      <w:r>
        <w:t>mid-</w:t>
      </w:r>
      <w:r w:rsidRPr="00A561E1">
        <w:t xml:space="preserve">January 2008.  In addition, the CPUC must approve NCTD’s System Safety Program Plan and System Security Plan.  </w:t>
      </w:r>
      <w:r>
        <w:t>Action on b</w:t>
      </w:r>
      <w:r w:rsidRPr="00A561E1">
        <w:t xml:space="preserve">oth plans </w:t>
      </w:r>
      <w:r>
        <w:t xml:space="preserve">has been included in the agenda for the </w:t>
      </w:r>
      <w:smartTag w:uri="urn:schemas-microsoft-com:office:smarttags" w:element="date">
        <w:smartTagPr>
          <w:attr w:name="Month" w:val="1"/>
          <w:attr w:name="Day" w:val="10"/>
          <w:attr w:name="Year" w:val="2008"/>
        </w:smartTagPr>
        <w:r w:rsidRPr="00A561E1">
          <w:t>January 10, 2008</w:t>
        </w:r>
      </w:smartTag>
      <w:r w:rsidRPr="00A561E1">
        <w:t xml:space="preserve"> Commission </w:t>
      </w:r>
      <w:r>
        <w:t>meeting</w:t>
      </w:r>
      <w:r w:rsidRPr="00A561E1">
        <w:t>.</w:t>
      </w:r>
    </w:p>
    <w:p w:rsidR="00605604" w:rsidRPr="00A561E1" w:rsidRDefault="00605604"/>
    <w:p w:rsidR="00264A07" w:rsidRPr="00A561E1" w:rsidRDefault="00FD62C1" w:rsidP="00264A07">
      <w:pPr>
        <w:rPr>
          <w:sz w:val="20"/>
          <w:szCs w:val="20"/>
        </w:rPr>
      </w:pPr>
      <w:r w:rsidRPr="00A561E1">
        <w:t xml:space="preserve">NCTD held an inaugural celebration on </w:t>
      </w:r>
      <w:smartTag w:uri="urn:schemas-microsoft-com:office:smarttags" w:element="date">
        <w:smartTagPr>
          <w:attr w:name="Month" w:val="12"/>
          <w:attr w:name="Day" w:val="28"/>
          <w:attr w:name="Year" w:val="2007"/>
        </w:smartTagPr>
        <w:r w:rsidRPr="00A561E1">
          <w:t>December 28, 2007</w:t>
        </w:r>
      </w:smartTag>
      <w:r>
        <w:t xml:space="preserve">.  They are </w:t>
      </w:r>
      <w:r w:rsidR="0044751E" w:rsidRPr="00A561E1">
        <w:t xml:space="preserve">working towards </w:t>
      </w:r>
      <w:r w:rsidR="00E56B77" w:rsidRPr="00A561E1">
        <w:t>a staged opening</w:t>
      </w:r>
      <w:r w:rsidR="00264A07" w:rsidRPr="00A561E1">
        <w:t xml:space="preserve"> </w:t>
      </w:r>
      <w:r w:rsidR="00BE5290" w:rsidRPr="00A561E1">
        <w:t>with</w:t>
      </w:r>
      <w:r w:rsidR="00264A07" w:rsidRPr="00A561E1">
        <w:t xml:space="preserve"> </w:t>
      </w:r>
      <w:r w:rsidR="00E56B77" w:rsidRPr="00A561E1">
        <w:t xml:space="preserve">possibly two </w:t>
      </w:r>
      <w:r w:rsidR="007D0958" w:rsidRPr="00A561E1">
        <w:t xml:space="preserve">initial </w:t>
      </w:r>
      <w:r w:rsidR="00E56B77" w:rsidRPr="00A561E1">
        <w:t xml:space="preserve">stages and a </w:t>
      </w:r>
      <w:r w:rsidR="00BE5290" w:rsidRPr="00A561E1">
        <w:t xml:space="preserve">stage consisting of full </w:t>
      </w:r>
      <w:r w:rsidR="007D0958" w:rsidRPr="00A561E1">
        <w:t xml:space="preserve">revenue </w:t>
      </w:r>
      <w:r w:rsidR="00E56B77" w:rsidRPr="00A561E1">
        <w:t>operations.</w:t>
      </w:r>
      <w:r>
        <w:t xml:space="preserve">  </w:t>
      </w:r>
      <w:r w:rsidR="00264A07" w:rsidRPr="00A561E1">
        <w:t xml:space="preserve">It should be noted that the full revenue service will include the complete scope of the project and will be achieved by the FFGA Amendment ROD of </w:t>
      </w:r>
      <w:smartTag w:uri="urn:schemas-microsoft-com:office:smarttags" w:element="date">
        <w:smartTagPr>
          <w:attr w:name="Month" w:val="7"/>
          <w:attr w:name="Day" w:val="1"/>
          <w:attr w:name="Year" w:val="2008"/>
        </w:smartTagPr>
        <w:r w:rsidR="00264A07" w:rsidRPr="00A561E1">
          <w:t>July 1, 2008</w:t>
        </w:r>
      </w:smartTag>
      <w:r w:rsidR="00264A07" w:rsidRPr="00A561E1">
        <w:t>.</w:t>
      </w:r>
    </w:p>
    <w:p w:rsidR="00D5168D" w:rsidRPr="00A561E1" w:rsidRDefault="00D5168D" w:rsidP="003C137F"/>
    <w:p w:rsidR="00264A07" w:rsidRPr="00A561E1" w:rsidRDefault="00264A07" w:rsidP="00264A07"/>
    <w:p w:rsidR="00010402" w:rsidRPr="00A561E1" w:rsidRDefault="00010402" w:rsidP="003C137F">
      <w:r w:rsidRPr="00A561E1">
        <w:t xml:space="preserve">NCTD </w:t>
      </w:r>
      <w:r w:rsidR="00264A07" w:rsidRPr="00A561E1">
        <w:t>plans</w:t>
      </w:r>
      <w:r w:rsidRPr="00A561E1">
        <w:t xml:space="preserve"> t</w:t>
      </w:r>
      <w:r w:rsidR="002E4CFA" w:rsidRPr="00A561E1">
        <w:t xml:space="preserve">he first stage </w:t>
      </w:r>
      <w:r w:rsidR="001D72A3" w:rsidRPr="00A561E1">
        <w:t xml:space="preserve">of revenue service </w:t>
      </w:r>
      <w:r w:rsidRPr="00A561E1">
        <w:t xml:space="preserve">to </w:t>
      </w:r>
      <w:r w:rsidR="002E4CFA" w:rsidRPr="00A561E1">
        <w:t>occur in January 200</w:t>
      </w:r>
      <w:r w:rsidRPr="00A561E1">
        <w:t xml:space="preserve">8.  This stage will </w:t>
      </w:r>
      <w:r w:rsidR="002E4CFA" w:rsidRPr="00A561E1">
        <w:t xml:space="preserve">consist of </w:t>
      </w:r>
      <w:r w:rsidR="001D72A3" w:rsidRPr="00A561E1">
        <w:t xml:space="preserve">a </w:t>
      </w:r>
      <w:r w:rsidR="002E4CFA" w:rsidRPr="00A561E1">
        <w:t xml:space="preserve">limited </w:t>
      </w:r>
      <w:r w:rsidR="001D72A3" w:rsidRPr="00A561E1">
        <w:t xml:space="preserve">schedule </w:t>
      </w:r>
      <w:r w:rsidR="002E4CFA" w:rsidRPr="00A561E1">
        <w:t>along a portion or entire length of the corridor.  This w</w:t>
      </w:r>
      <w:r w:rsidRPr="00A561E1">
        <w:t>ill</w:t>
      </w:r>
      <w:r w:rsidR="002E4CFA" w:rsidRPr="00A561E1">
        <w:t xml:space="preserve"> constitute a “soft opening”.  </w:t>
      </w:r>
      <w:r w:rsidR="00D006D9" w:rsidRPr="00A561E1">
        <w:t xml:space="preserve">It is anticipated that all </w:t>
      </w:r>
      <w:r w:rsidR="00D5168D" w:rsidRPr="00A561E1">
        <w:t>twelve vehicles will be put into service</w:t>
      </w:r>
      <w:r w:rsidR="00D006D9" w:rsidRPr="00A561E1">
        <w:t xml:space="preserve"> during the “soft opening”</w:t>
      </w:r>
      <w:r w:rsidR="00AC7ABF" w:rsidRPr="00A561E1">
        <w:t>.</w:t>
      </w:r>
    </w:p>
    <w:p w:rsidR="00010402" w:rsidRPr="00A561E1" w:rsidRDefault="00010402" w:rsidP="003C137F"/>
    <w:p w:rsidR="00D5168D" w:rsidRPr="00A561E1" w:rsidRDefault="002E4CFA" w:rsidP="003C137F">
      <w:r w:rsidRPr="00A561E1">
        <w:t xml:space="preserve">The second stage </w:t>
      </w:r>
      <w:r w:rsidR="00264A07" w:rsidRPr="00A561E1">
        <w:t>is</w:t>
      </w:r>
      <w:r w:rsidR="001D485A" w:rsidRPr="00A561E1">
        <w:t xml:space="preserve"> tied to NCTD’s bus service adjustments</w:t>
      </w:r>
      <w:r w:rsidRPr="00A561E1">
        <w:t xml:space="preserve"> scheduled </w:t>
      </w:r>
      <w:r w:rsidR="001D485A" w:rsidRPr="00A561E1">
        <w:t>to begin</w:t>
      </w:r>
      <w:r w:rsidR="003C137F" w:rsidRPr="00A561E1">
        <w:t xml:space="preserve"> </w:t>
      </w:r>
      <w:r w:rsidR="00825A85" w:rsidRPr="00A561E1">
        <w:t>by the end of January</w:t>
      </w:r>
      <w:r w:rsidRPr="00A561E1">
        <w:t xml:space="preserve"> 2008.  This level of service w</w:t>
      </w:r>
      <w:r w:rsidR="00010402" w:rsidRPr="00A561E1">
        <w:t>ill</w:t>
      </w:r>
      <w:r w:rsidRPr="00A561E1">
        <w:t xml:space="preserve"> consist of a standard schedule over the entire length of the line and w</w:t>
      </w:r>
      <w:r w:rsidR="00010402" w:rsidRPr="00A561E1">
        <w:t xml:space="preserve">ill </w:t>
      </w:r>
      <w:r w:rsidRPr="00A561E1">
        <w:t>be designated as modified full revenue service</w:t>
      </w:r>
      <w:r w:rsidR="001D72A3" w:rsidRPr="00A561E1">
        <w:t xml:space="preserve"> since </w:t>
      </w:r>
      <w:r w:rsidR="00825A85" w:rsidRPr="00A561E1">
        <w:t xml:space="preserve">the eastbound platform at the Escondido Avenue Station </w:t>
      </w:r>
      <w:r w:rsidRPr="00A561E1">
        <w:t>w</w:t>
      </w:r>
      <w:r w:rsidR="00D5168D" w:rsidRPr="00A561E1">
        <w:t>ill</w:t>
      </w:r>
      <w:r w:rsidRPr="00A561E1">
        <w:t xml:space="preserve"> not </w:t>
      </w:r>
      <w:r w:rsidR="00D5168D" w:rsidRPr="00A561E1">
        <w:t xml:space="preserve">yet </w:t>
      </w:r>
      <w:r w:rsidRPr="00A561E1">
        <w:t xml:space="preserve">be </w:t>
      </w:r>
      <w:r w:rsidR="001E3F93" w:rsidRPr="00A561E1">
        <w:t xml:space="preserve">complete with construction. </w:t>
      </w:r>
      <w:r w:rsidR="00F34075" w:rsidRPr="00A561E1">
        <w:t xml:space="preserve">NCTD has developed work-around solution to ensure patrons that need access to </w:t>
      </w:r>
      <w:r w:rsidR="00825A85" w:rsidRPr="00A561E1">
        <w:t xml:space="preserve">this </w:t>
      </w:r>
      <w:r w:rsidR="00F34075" w:rsidRPr="00A561E1">
        <w:t xml:space="preserve">station have the ability to do so.  </w:t>
      </w:r>
      <w:r w:rsidR="00063E6F" w:rsidRPr="00A561E1">
        <w:t xml:space="preserve">NCTD has also developed a permanent </w:t>
      </w:r>
      <w:r w:rsidR="00FD62C1">
        <w:t xml:space="preserve">design </w:t>
      </w:r>
      <w:r w:rsidR="00063E6F" w:rsidRPr="00A561E1">
        <w:t>solution and has begun implementing the solution.</w:t>
      </w:r>
    </w:p>
    <w:p w:rsidR="00264A07" w:rsidRPr="00A561E1" w:rsidRDefault="00264A07" w:rsidP="00264A07"/>
    <w:p w:rsidR="00264A07" w:rsidRPr="00A561E1" w:rsidRDefault="00264A07" w:rsidP="00264A07">
      <w:r w:rsidRPr="00A561E1">
        <w:t xml:space="preserve">The operating plans for the initial stages and the full revenue service are being </w:t>
      </w:r>
      <w:r w:rsidR="001E3F93" w:rsidRPr="00A561E1">
        <w:t>finalized b</w:t>
      </w:r>
      <w:r w:rsidRPr="00A561E1">
        <w:t xml:space="preserve">y NCTD and their contractor Veolia.  </w:t>
      </w:r>
      <w:r w:rsidR="00C53C4F" w:rsidRPr="00A561E1">
        <w:t>The difficulties associated with such a staged approach include potential ongoing construction activity adjacent to an active rail line.</w:t>
      </w:r>
      <w:r w:rsidR="00FD62C1">
        <w:t xml:space="preserve">  However, the operating plans take this into consideration.</w:t>
      </w:r>
    </w:p>
    <w:p w:rsidR="001E3F93" w:rsidRPr="00A561E1" w:rsidRDefault="001E3F93" w:rsidP="00264A07"/>
    <w:p w:rsidR="00D5168D" w:rsidRPr="00A561E1" w:rsidRDefault="002E4CFA" w:rsidP="003C137F">
      <w:r w:rsidRPr="00A561E1">
        <w:t xml:space="preserve">The final stage </w:t>
      </w:r>
      <w:r w:rsidR="001E3F93" w:rsidRPr="00A561E1">
        <w:t>c</w:t>
      </w:r>
      <w:r w:rsidRPr="00A561E1">
        <w:t>onsist</w:t>
      </w:r>
      <w:r w:rsidR="001E3F93" w:rsidRPr="00A561E1">
        <w:t>s</w:t>
      </w:r>
      <w:r w:rsidRPr="00A561E1">
        <w:t xml:space="preserve"> of full</w:t>
      </w:r>
      <w:r w:rsidR="002B534C" w:rsidRPr="00A561E1">
        <w:t xml:space="preserve"> revenue </w:t>
      </w:r>
      <w:r w:rsidR="001D72A3" w:rsidRPr="00A561E1">
        <w:t>service and w</w:t>
      </w:r>
      <w:r w:rsidR="00D5168D" w:rsidRPr="00A561E1">
        <w:t xml:space="preserve">ill </w:t>
      </w:r>
      <w:r w:rsidR="001D72A3" w:rsidRPr="00A561E1">
        <w:t xml:space="preserve">likely occur </w:t>
      </w:r>
      <w:r w:rsidR="00860BCB" w:rsidRPr="00A561E1">
        <w:t xml:space="preserve">by </w:t>
      </w:r>
      <w:r w:rsidR="001D72A3" w:rsidRPr="00A561E1">
        <w:t>April 2008</w:t>
      </w:r>
      <w:r w:rsidR="001E3F93" w:rsidRPr="00A561E1">
        <w:t xml:space="preserve"> pending completion of the construction at the </w:t>
      </w:r>
      <w:r w:rsidR="001D72A3" w:rsidRPr="00A561E1">
        <w:t>Escondido Avenue Station</w:t>
      </w:r>
      <w:r w:rsidR="00063E6F" w:rsidRPr="00A561E1">
        <w:t>.</w:t>
      </w:r>
    </w:p>
    <w:p w:rsidR="00D5168D" w:rsidRPr="00A561E1" w:rsidRDefault="00D5168D" w:rsidP="003C137F"/>
    <w:p w:rsidR="0044751E" w:rsidRPr="00A561E1" w:rsidRDefault="0044751E">
      <w:pPr>
        <w:keepNext/>
        <w:rPr>
          <w:b/>
        </w:rPr>
      </w:pPr>
      <w:r w:rsidRPr="00A561E1">
        <w:rPr>
          <w:b/>
        </w:rPr>
        <w:t>C.</w:t>
      </w:r>
      <w:r w:rsidRPr="00A561E1">
        <w:rPr>
          <w:b/>
        </w:rPr>
        <w:tab/>
        <w:t xml:space="preserve">Revised Budget </w:t>
      </w:r>
      <w:r w:rsidR="001E3F93" w:rsidRPr="00A561E1">
        <w:rPr>
          <w:b/>
        </w:rPr>
        <w:t xml:space="preserve">and Schedule </w:t>
      </w:r>
      <w:r w:rsidRPr="00A561E1">
        <w:rPr>
          <w:b/>
        </w:rPr>
        <w:t>Assessment</w:t>
      </w:r>
    </w:p>
    <w:p w:rsidR="0044751E" w:rsidRPr="00A561E1" w:rsidRDefault="0044751E">
      <w:pPr>
        <w:keepNext/>
      </w:pPr>
    </w:p>
    <w:p w:rsidR="00604EC4" w:rsidRPr="00A561E1" w:rsidRDefault="0044751E">
      <w:r w:rsidRPr="00A561E1">
        <w:t>The</w:t>
      </w:r>
      <w:r w:rsidR="001E3F93" w:rsidRPr="00A561E1">
        <w:t xml:space="preserve"> original </w:t>
      </w:r>
      <w:r w:rsidRPr="00A561E1">
        <w:t>FFGA budget for the Project was $351.5M</w:t>
      </w:r>
      <w:r w:rsidR="00604EC4" w:rsidRPr="00A561E1">
        <w:t xml:space="preserve">.  The revenue operations date was </w:t>
      </w:r>
      <w:smartTag w:uri="urn:schemas-microsoft-com:office:smarttags" w:element="date">
        <w:smartTagPr>
          <w:attr w:name="Month" w:val="12"/>
          <w:attr w:name="Day" w:val="31"/>
          <w:attr w:name="Year" w:val="2005"/>
        </w:smartTagPr>
        <w:r w:rsidR="00604EC4" w:rsidRPr="00A561E1">
          <w:t>December 31, 2005</w:t>
        </w:r>
      </w:smartTag>
      <w:r w:rsidR="00604EC4" w:rsidRPr="00A561E1">
        <w:t xml:space="preserve">.  </w:t>
      </w:r>
      <w:r w:rsidR="001E3F93" w:rsidRPr="00A561E1">
        <w:t xml:space="preserve">Between </w:t>
      </w:r>
      <w:r w:rsidRPr="00A561E1">
        <w:t>the signing of the FFGA</w:t>
      </w:r>
      <w:r w:rsidR="001E3F93" w:rsidRPr="00A561E1">
        <w:t xml:space="preserve"> in February 2003 and December 2007, </w:t>
      </w:r>
      <w:r w:rsidRPr="00A561E1">
        <w:t xml:space="preserve">several significant </w:t>
      </w:r>
      <w:r w:rsidR="001E3F93" w:rsidRPr="00A561E1">
        <w:t xml:space="preserve">events </w:t>
      </w:r>
      <w:r w:rsidRPr="00A561E1">
        <w:t xml:space="preserve">occurred that </w:t>
      </w:r>
      <w:r w:rsidR="001E3F93" w:rsidRPr="00A561E1">
        <w:t xml:space="preserve">resulted in an increase to the project budget of $132.6M and an extension of the project schedule of two and one-half years.  </w:t>
      </w:r>
    </w:p>
    <w:p w:rsidR="00604EC4" w:rsidRPr="00A561E1" w:rsidRDefault="00604EC4"/>
    <w:p w:rsidR="00604EC4" w:rsidRPr="00A561E1" w:rsidRDefault="001E3F93">
      <w:r w:rsidRPr="00A561E1">
        <w:t xml:space="preserve">The new project budget is $484.1M and the new revenue operations date is </w:t>
      </w:r>
      <w:smartTag w:uri="urn:schemas-microsoft-com:office:smarttags" w:element="date">
        <w:smartTagPr>
          <w:attr w:name="Month" w:val="7"/>
          <w:attr w:name="Day" w:val="1"/>
          <w:attr w:name="Year" w:val="2008"/>
        </w:smartTagPr>
        <w:r w:rsidRPr="00A561E1">
          <w:t>July 1, 2008</w:t>
        </w:r>
      </w:smartTag>
      <w:r w:rsidRPr="00A561E1">
        <w:t xml:space="preserve">. </w:t>
      </w:r>
      <w:r w:rsidR="00604EC4" w:rsidRPr="00A561E1">
        <w:t xml:space="preserve"> FTA Section 5309 New Starts funds remain unchanged at $152.1M.  NCTD is utilizing additional local and state funds to cover the $132.6M increase.</w:t>
      </w:r>
    </w:p>
    <w:p w:rsidR="00604EC4" w:rsidRPr="00A561E1" w:rsidRDefault="00604EC4"/>
    <w:p w:rsidR="001E3F93" w:rsidRPr="00A561E1" w:rsidRDefault="001E3F93">
      <w:r w:rsidRPr="00A561E1">
        <w:t xml:space="preserve">The events </w:t>
      </w:r>
      <w:r w:rsidR="00604EC4" w:rsidRPr="00A561E1">
        <w:t xml:space="preserve">that resulted in the change to project budget and schedule </w:t>
      </w:r>
      <w:r w:rsidRPr="00A561E1">
        <w:t>are outlined below and</w:t>
      </w:r>
      <w:r w:rsidR="00604EC4" w:rsidRPr="00A561E1">
        <w:t xml:space="preserve"> are fully</w:t>
      </w:r>
      <w:r w:rsidRPr="00A561E1">
        <w:t xml:space="preserve"> described in this report</w:t>
      </w:r>
      <w:r w:rsidR="00604EC4" w:rsidRPr="00A561E1">
        <w:t>:</w:t>
      </w:r>
      <w:r w:rsidRPr="00A561E1">
        <w:t xml:space="preserve">  </w:t>
      </w:r>
    </w:p>
    <w:p w:rsidR="001E3F93" w:rsidRPr="00A561E1" w:rsidRDefault="001E3F93"/>
    <w:p w:rsidR="00604EC4" w:rsidRPr="00A561E1" w:rsidRDefault="00604EC4" w:rsidP="00604EC4">
      <w:pPr>
        <w:keepNext/>
        <w:numPr>
          <w:ilvl w:val="0"/>
          <w:numId w:val="17"/>
        </w:numPr>
      </w:pPr>
      <w:r w:rsidRPr="00A561E1">
        <w:t xml:space="preserve">Significant Design Issues </w:t>
      </w:r>
    </w:p>
    <w:p w:rsidR="00604EC4" w:rsidRPr="00A561E1" w:rsidRDefault="00604EC4" w:rsidP="00604EC4">
      <w:pPr>
        <w:keepNext/>
        <w:numPr>
          <w:ilvl w:val="0"/>
          <w:numId w:val="17"/>
        </w:numPr>
      </w:pPr>
      <w:r w:rsidRPr="00A561E1">
        <w:t xml:space="preserve">Grantee Technical Capacity Issues </w:t>
      </w:r>
    </w:p>
    <w:p w:rsidR="00604EC4" w:rsidRPr="00A561E1" w:rsidRDefault="00604EC4" w:rsidP="00604EC4">
      <w:pPr>
        <w:keepNext/>
        <w:numPr>
          <w:ilvl w:val="0"/>
          <w:numId w:val="17"/>
        </w:numPr>
      </w:pPr>
      <w:r w:rsidRPr="00A561E1">
        <w:t>Lean Construction Bidding Market</w:t>
      </w:r>
    </w:p>
    <w:p w:rsidR="00817A99" w:rsidRPr="00A561E1" w:rsidRDefault="0044751E" w:rsidP="00B55037">
      <w:pPr>
        <w:keepNext/>
        <w:numPr>
          <w:ilvl w:val="0"/>
          <w:numId w:val="17"/>
        </w:numPr>
      </w:pPr>
      <w:r w:rsidRPr="00A561E1">
        <w:t>Escalation of construction costs as a result of added time for negotiations with Burlington Nort</w:t>
      </w:r>
      <w:r w:rsidR="00DA6286" w:rsidRPr="00A561E1">
        <w:t>hern-Santa Fe Railroad (BNSF)</w:t>
      </w:r>
    </w:p>
    <w:p w:rsidR="00470E3C" w:rsidRPr="00A561E1" w:rsidRDefault="0044751E" w:rsidP="00B55037">
      <w:pPr>
        <w:keepNext/>
        <w:numPr>
          <w:ilvl w:val="0"/>
          <w:numId w:val="17"/>
        </w:numPr>
      </w:pPr>
      <w:r w:rsidRPr="00A561E1">
        <w:t>Escalation of construction costs as a result of added time to obtain California Public Utilities Commission (CPUC) approval of deviations from General Order 143-B</w:t>
      </w:r>
    </w:p>
    <w:p w:rsidR="006823D3" w:rsidRPr="00A561E1" w:rsidRDefault="00DA6286" w:rsidP="00B55037">
      <w:pPr>
        <w:keepNext/>
        <w:numPr>
          <w:ilvl w:val="0"/>
          <w:numId w:val="17"/>
        </w:numPr>
      </w:pPr>
      <w:r w:rsidRPr="00A561E1">
        <w:t>DMU Procurement Costs</w:t>
      </w:r>
    </w:p>
    <w:p w:rsidR="006823D3" w:rsidRPr="00A561E1" w:rsidRDefault="006823D3" w:rsidP="003315EC">
      <w:pPr>
        <w:keepNext/>
      </w:pPr>
    </w:p>
    <w:p w:rsidR="00DE0036" w:rsidRPr="00A561E1" w:rsidRDefault="0044751E">
      <w:r w:rsidRPr="00A561E1">
        <w:t xml:space="preserve">As a result of the budget concerns, NCTD was required </w:t>
      </w:r>
      <w:r w:rsidR="00817A99" w:rsidRPr="00A561E1">
        <w:t xml:space="preserve">by FTA </w:t>
      </w:r>
      <w:r w:rsidRPr="00A561E1">
        <w:t>to develop a Recovery Plan</w:t>
      </w:r>
      <w:r w:rsidR="009A1919">
        <w:t xml:space="preserve"> in 2005</w:t>
      </w:r>
      <w:r w:rsidRPr="00A561E1">
        <w:t xml:space="preserve"> and subsequent Amended Recovery Plan (ARP)</w:t>
      </w:r>
      <w:r w:rsidR="009A1919">
        <w:t xml:space="preserve"> in 2006</w:t>
      </w:r>
      <w:r w:rsidRPr="00A561E1">
        <w:t xml:space="preserve">.  NCTD submitted </w:t>
      </w:r>
      <w:r w:rsidR="00DC654F" w:rsidRPr="00A561E1">
        <w:t xml:space="preserve">the final </w:t>
      </w:r>
      <w:r w:rsidRPr="00A561E1">
        <w:t xml:space="preserve">ARP on </w:t>
      </w:r>
      <w:smartTag w:uri="urn:schemas-microsoft-com:office:smarttags" w:element="date">
        <w:smartTagPr>
          <w:attr w:name="Month" w:val="9"/>
          <w:attr w:name="Day" w:val="15"/>
          <w:attr w:name="Year" w:val="2006"/>
        </w:smartTagPr>
        <w:r w:rsidRPr="00A561E1">
          <w:t>September 15, 2006</w:t>
        </w:r>
      </w:smartTag>
      <w:r w:rsidRPr="00A561E1">
        <w:t xml:space="preserve"> </w:t>
      </w:r>
      <w:r w:rsidR="00817A99" w:rsidRPr="00A561E1">
        <w:t xml:space="preserve">for </w:t>
      </w:r>
      <w:r w:rsidRPr="00A561E1">
        <w:t>a Total Project Budget of $484.1M</w:t>
      </w:r>
      <w:r w:rsidR="00817A99" w:rsidRPr="00A561E1">
        <w:t xml:space="preserve">, a ROD of </w:t>
      </w:r>
      <w:smartTag w:uri="urn:schemas-microsoft-com:office:smarttags" w:element="date">
        <w:smartTagPr>
          <w:attr w:name="Month" w:val="7"/>
          <w:attr w:name="Day" w:val="1"/>
          <w:attr w:name="Year" w:val="2008"/>
        </w:smartTagPr>
        <w:r w:rsidR="00817A99" w:rsidRPr="00A561E1">
          <w:t>July 1, 2008</w:t>
        </w:r>
      </w:smartTag>
      <w:r w:rsidR="00817A99" w:rsidRPr="00A561E1">
        <w:t xml:space="preserve">, and no increase in FTA New Starts funds. </w:t>
      </w:r>
      <w:r w:rsidRPr="00A561E1">
        <w:t xml:space="preserve"> Th</w:t>
      </w:r>
      <w:r w:rsidR="00817A99" w:rsidRPr="00A561E1">
        <w:t xml:space="preserve">e $484.1M </w:t>
      </w:r>
      <w:r w:rsidRPr="00A561E1">
        <w:t>budget matched the 80</w:t>
      </w:r>
      <w:r w:rsidRPr="00A561E1">
        <w:rPr>
          <w:vertAlign w:val="superscript"/>
        </w:rPr>
        <w:t>th</w:t>
      </w:r>
      <w:r w:rsidRPr="00A561E1">
        <w:t xml:space="preserve"> percentile level of confidence as determined by the PMOC’s </w:t>
      </w:r>
      <w:r w:rsidR="00955E1A">
        <w:t xml:space="preserve">2006 </w:t>
      </w:r>
      <w:r w:rsidR="00BD73DA" w:rsidRPr="00A561E1">
        <w:t xml:space="preserve">Cost </w:t>
      </w:r>
      <w:r w:rsidRPr="00A561E1">
        <w:t xml:space="preserve">Risk Assessment </w:t>
      </w:r>
      <w:r w:rsidR="009A1919">
        <w:t xml:space="preserve">as </w:t>
      </w:r>
      <w:r w:rsidR="00817A99" w:rsidRPr="00A561E1">
        <w:t xml:space="preserve">documented in </w:t>
      </w:r>
      <w:r w:rsidRPr="00A561E1">
        <w:t xml:space="preserve">Spot Report </w:t>
      </w:r>
      <w:smartTag w:uri="urn:schemas-microsoft-com:office:smarttags" w:element="PersonName">
        <w:r w:rsidRPr="00A561E1">
          <w:t>#</w:t>
        </w:r>
      </w:smartTag>
      <w:r w:rsidR="009A1919">
        <w:t xml:space="preserve">9 dated </w:t>
      </w:r>
      <w:smartTag w:uri="urn:schemas-microsoft-com:office:smarttags" w:element="date">
        <w:smartTagPr>
          <w:attr w:name="Month" w:val="10"/>
          <w:attr w:name="Day" w:val="18"/>
          <w:attr w:name="Year" w:val="2006"/>
        </w:smartTagPr>
        <w:r w:rsidR="009A1919">
          <w:t>October 18, 2006</w:t>
        </w:r>
      </w:smartTag>
      <w:r w:rsidR="009A1919">
        <w:t>.</w:t>
      </w:r>
    </w:p>
    <w:p w:rsidR="00DE0036" w:rsidRPr="00A561E1" w:rsidRDefault="00DE0036"/>
    <w:p w:rsidR="0044751E" w:rsidRPr="00A561E1" w:rsidRDefault="00817A99">
      <w:r w:rsidRPr="00A561E1">
        <w:t xml:space="preserve">This report, </w:t>
      </w:r>
      <w:r w:rsidR="0044751E" w:rsidRPr="00A561E1">
        <w:t xml:space="preserve">Spot Report </w:t>
      </w:r>
      <w:smartTag w:uri="urn:schemas-microsoft-com:office:smarttags" w:element="PersonName">
        <w:r w:rsidR="00DE0036" w:rsidRPr="00A561E1">
          <w:t>#</w:t>
        </w:r>
      </w:smartTag>
      <w:r w:rsidR="00DE0036" w:rsidRPr="00A561E1">
        <w:t>11</w:t>
      </w:r>
      <w:r w:rsidRPr="00A561E1">
        <w:t>,</w:t>
      </w:r>
      <w:r w:rsidR="00DE0036" w:rsidRPr="00A561E1">
        <w:t xml:space="preserve"> updates</w:t>
      </w:r>
      <w:r w:rsidR="0044751E" w:rsidRPr="00A561E1">
        <w:t xml:space="preserve"> the </w:t>
      </w:r>
      <w:r w:rsidR="00955E1A">
        <w:t xml:space="preserve">2006 </w:t>
      </w:r>
      <w:r w:rsidR="000B1812" w:rsidRPr="00A561E1">
        <w:t xml:space="preserve">Cost </w:t>
      </w:r>
      <w:r w:rsidR="0044751E" w:rsidRPr="00A561E1">
        <w:t xml:space="preserve">Risk Assessment to account for more current base costs and remaining risks.  The PMOC determined the </w:t>
      </w:r>
      <w:r w:rsidR="000B1812" w:rsidRPr="00A561E1">
        <w:t xml:space="preserve">current </w:t>
      </w:r>
      <w:r w:rsidR="0044751E" w:rsidRPr="00A561E1">
        <w:t xml:space="preserve">level of confidence for achieving the ARP </w:t>
      </w:r>
      <w:r w:rsidR="00FB58B4" w:rsidRPr="00A561E1">
        <w:t>(and FFGA Amendment) b</w:t>
      </w:r>
      <w:r w:rsidR="0044751E" w:rsidRPr="00A561E1">
        <w:t xml:space="preserve">udget of $484.1M is approximately </w:t>
      </w:r>
      <w:r w:rsidR="00DA6286" w:rsidRPr="00A561E1">
        <w:t>89</w:t>
      </w:r>
      <w:r w:rsidR="0044751E" w:rsidRPr="00A561E1">
        <w:t xml:space="preserve">%.  NCTD’s </w:t>
      </w:r>
      <w:r w:rsidR="002E254E" w:rsidRPr="00A561E1">
        <w:t xml:space="preserve">current </w:t>
      </w:r>
      <w:r w:rsidR="0044751E" w:rsidRPr="00A561E1">
        <w:t>Estimate at Completion (EAC)</w:t>
      </w:r>
      <w:r w:rsidR="002E254E" w:rsidRPr="00A561E1">
        <w:t xml:space="preserve"> is $477.6M and is </w:t>
      </w:r>
      <w:r w:rsidR="0044751E" w:rsidRPr="00A561E1">
        <w:t xml:space="preserve">based on </w:t>
      </w:r>
      <w:r w:rsidR="002C3258" w:rsidRPr="00A561E1">
        <w:t xml:space="preserve">the </w:t>
      </w:r>
      <w:smartTag w:uri="urn:schemas-microsoft-com:office:smarttags" w:element="date">
        <w:smartTagPr>
          <w:attr w:name="Month" w:val="7"/>
          <w:attr w:name="Day" w:val="1"/>
          <w:attr w:name="Year" w:val="2008"/>
        </w:smartTagPr>
        <w:r w:rsidR="002C3258" w:rsidRPr="00A561E1">
          <w:t>July 1, 2008</w:t>
        </w:r>
      </w:smartTag>
      <w:r w:rsidR="002C3258" w:rsidRPr="00A561E1">
        <w:t xml:space="preserve"> ROD</w:t>
      </w:r>
      <w:r w:rsidR="002E254E" w:rsidRPr="00A561E1">
        <w:t>.</w:t>
      </w:r>
    </w:p>
    <w:p w:rsidR="00DE0036" w:rsidRPr="00A561E1" w:rsidRDefault="00DE0036"/>
    <w:p w:rsidR="008D5BEA" w:rsidRPr="00A561E1" w:rsidRDefault="00FC2DB5" w:rsidP="008D5BEA">
      <w:r w:rsidRPr="00A561E1">
        <w:t xml:space="preserve">The current balance of the contingency is $16.7M, including $10.1M in allocated contingency and $6.6M in unallocated contingency.  The </w:t>
      </w:r>
      <w:r w:rsidR="00955E1A">
        <w:t>2007</w:t>
      </w:r>
      <w:r w:rsidRPr="00A561E1">
        <w:t xml:space="preserve"> Cost Risk Assessment </w:t>
      </w:r>
      <w:r w:rsidR="00817A99" w:rsidRPr="00A561E1">
        <w:t>is</w:t>
      </w:r>
      <w:r w:rsidRPr="00A561E1">
        <w:t xml:space="preserve"> based on the assumption that </w:t>
      </w:r>
      <w:r w:rsidR="00817A99" w:rsidRPr="00A561E1">
        <w:t xml:space="preserve">full revenue service </w:t>
      </w:r>
      <w:r w:rsidRPr="00A561E1">
        <w:t xml:space="preserve">will occur </w:t>
      </w:r>
      <w:r w:rsidR="00070DAB">
        <w:t>by</w:t>
      </w:r>
      <w:r w:rsidR="00817A99" w:rsidRPr="00A561E1">
        <w:t xml:space="preserve"> April 2008.  </w:t>
      </w:r>
      <w:r w:rsidRPr="00A561E1">
        <w:t xml:space="preserve">However, the </w:t>
      </w:r>
      <w:r w:rsidR="00955E1A">
        <w:t xml:space="preserve">2007 </w:t>
      </w:r>
      <w:r w:rsidRPr="00A561E1">
        <w:t xml:space="preserve">Cost Risk Assessment also </w:t>
      </w:r>
      <w:r w:rsidR="0027079A" w:rsidRPr="00A561E1">
        <w:t xml:space="preserve">concluded </w:t>
      </w:r>
      <w:r w:rsidRPr="00A561E1">
        <w:t>that NCTD has sufficient contingency to address all project-related administrative costs if the ROD extends to July 2008, assuming that NCTD effectively manages all remaining risks</w:t>
      </w:r>
      <w:r w:rsidR="00FE6485" w:rsidRPr="00A561E1">
        <w:t>.</w:t>
      </w:r>
      <w:r w:rsidR="0027079A" w:rsidRPr="00A561E1">
        <w:t xml:space="preserve">  </w:t>
      </w:r>
      <w:r w:rsidRPr="00A561E1">
        <w:t>Th</w:t>
      </w:r>
      <w:r w:rsidR="0027079A" w:rsidRPr="00A561E1">
        <w:t xml:space="preserve">is conclusion </w:t>
      </w:r>
      <w:r w:rsidRPr="00A561E1">
        <w:t>was based on NCTD Management, Administrative, and Construction Management expense “burn rates”.</w:t>
      </w:r>
      <w:r w:rsidR="00FE6485" w:rsidRPr="00A561E1">
        <w:t xml:space="preserve">  </w:t>
      </w:r>
      <w:r w:rsidR="006B0430" w:rsidRPr="00A561E1">
        <w:t xml:space="preserve">In general, the PMOC determined that the </w:t>
      </w:r>
      <w:r w:rsidR="008D5BEA" w:rsidRPr="00A561E1">
        <w:t xml:space="preserve">FFGA Amendment budget </w:t>
      </w:r>
      <w:r w:rsidR="0027079A" w:rsidRPr="00A561E1">
        <w:t xml:space="preserve">of $484.1M </w:t>
      </w:r>
      <w:r w:rsidR="008D5BEA" w:rsidRPr="00A561E1">
        <w:t xml:space="preserve">is adequate </w:t>
      </w:r>
      <w:r w:rsidR="00B54785" w:rsidRPr="00A561E1">
        <w:t>to support the SPRINTER Project through the start of revenue service and closeout of all contracts</w:t>
      </w:r>
      <w:r w:rsidR="00197E7B" w:rsidRPr="00A561E1">
        <w:t xml:space="preserve"> </w:t>
      </w:r>
      <w:r w:rsidR="003F5F14" w:rsidRPr="00A561E1">
        <w:t>by the end of 2008</w:t>
      </w:r>
      <w:r w:rsidR="00B54785" w:rsidRPr="00A561E1">
        <w:t>.</w:t>
      </w:r>
    </w:p>
    <w:p w:rsidR="008D5BEA" w:rsidRPr="00A561E1" w:rsidRDefault="008D5BEA"/>
    <w:p w:rsidR="0044751E" w:rsidRPr="00A561E1" w:rsidRDefault="0027079A">
      <w:pPr>
        <w:keepNext/>
        <w:rPr>
          <w:b/>
        </w:rPr>
      </w:pPr>
      <w:r w:rsidRPr="00A561E1">
        <w:rPr>
          <w:b/>
        </w:rPr>
        <w:t>D</w:t>
      </w:r>
      <w:r w:rsidR="0044751E" w:rsidRPr="00A561E1">
        <w:rPr>
          <w:b/>
        </w:rPr>
        <w:t>.</w:t>
      </w:r>
      <w:r w:rsidR="0044751E" w:rsidRPr="00A561E1">
        <w:rPr>
          <w:b/>
        </w:rPr>
        <w:tab/>
        <w:t>FFGA Support Documentation Assessment</w:t>
      </w:r>
    </w:p>
    <w:p w:rsidR="0044751E" w:rsidRPr="00A561E1" w:rsidRDefault="0044751E">
      <w:pPr>
        <w:keepNext/>
      </w:pPr>
    </w:p>
    <w:p w:rsidR="0044751E" w:rsidRPr="00A561E1" w:rsidRDefault="0044751E">
      <w:r w:rsidRPr="00A561E1">
        <w:t xml:space="preserve">FTA, through the requirements of 49 Code of Federal Regulations (CFR) 633, utilizes a PMOC to perform project document evaluations and assessments as part of the FFGA process to ensure successful project implementation within approved budgets and in accordance with approved plans and specifications.  An assessment of the following documents and implementation of the work described in the documents is included </w:t>
      </w:r>
      <w:r w:rsidR="0027079A" w:rsidRPr="00A561E1">
        <w:t xml:space="preserve">in this report, </w:t>
      </w:r>
      <w:r w:rsidRPr="00A561E1">
        <w:t>Spot Report</w:t>
      </w:r>
      <w:smartTag w:uri="urn:schemas-microsoft-com:office:smarttags" w:element="PersonName">
        <w:r w:rsidR="0027079A" w:rsidRPr="00A561E1">
          <w:t>#</w:t>
        </w:r>
      </w:smartTag>
      <w:r w:rsidR="0027079A" w:rsidRPr="00A561E1">
        <w:t>11</w:t>
      </w:r>
      <w:r w:rsidRPr="00A561E1">
        <w:t>:</w:t>
      </w:r>
    </w:p>
    <w:p w:rsidR="0044751E" w:rsidRPr="00A561E1" w:rsidRDefault="0044751E"/>
    <w:p w:rsidR="0044751E" w:rsidRPr="00A561E1" w:rsidRDefault="0044751E">
      <w:pPr>
        <w:numPr>
          <w:ilvl w:val="0"/>
          <w:numId w:val="6"/>
        </w:numPr>
      </w:pPr>
      <w:r w:rsidRPr="00A561E1">
        <w:t>Project Management Plan (PMP)</w:t>
      </w:r>
    </w:p>
    <w:p w:rsidR="0044751E" w:rsidRPr="00A561E1" w:rsidRDefault="0044751E">
      <w:pPr>
        <w:numPr>
          <w:ilvl w:val="0"/>
          <w:numId w:val="6"/>
        </w:numPr>
      </w:pPr>
      <w:r w:rsidRPr="00A561E1">
        <w:t>Document Control Plan</w:t>
      </w:r>
    </w:p>
    <w:p w:rsidR="0044751E" w:rsidRPr="00A561E1" w:rsidRDefault="0044751E">
      <w:pPr>
        <w:numPr>
          <w:ilvl w:val="0"/>
          <w:numId w:val="6"/>
        </w:numPr>
      </w:pPr>
      <w:r w:rsidRPr="00A561E1">
        <w:t>Quality Program Plan</w:t>
      </w:r>
    </w:p>
    <w:p w:rsidR="0044751E" w:rsidRPr="00A561E1" w:rsidRDefault="0044751E">
      <w:pPr>
        <w:numPr>
          <w:ilvl w:val="0"/>
          <w:numId w:val="6"/>
        </w:numPr>
      </w:pPr>
      <w:r w:rsidRPr="00A561E1">
        <w:t>Real Estate Acquisition and Management Plan</w:t>
      </w:r>
    </w:p>
    <w:p w:rsidR="0044751E" w:rsidRPr="00A561E1" w:rsidRDefault="0044751E">
      <w:pPr>
        <w:numPr>
          <w:ilvl w:val="0"/>
          <w:numId w:val="6"/>
        </w:numPr>
      </w:pPr>
      <w:r w:rsidRPr="00A561E1">
        <w:t>Rail Fleet Management Plan</w:t>
      </w:r>
    </w:p>
    <w:p w:rsidR="0044751E" w:rsidRPr="00A561E1" w:rsidRDefault="0044751E">
      <w:pPr>
        <w:numPr>
          <w:ilvl w:val="0"/>
          <w:numId w:val="6"/>
        </w:numPr>
      </w:pPr>
      <w:r w:rsidRPr="00A561E1">
        <w:t>Bus Fleet Management Plan</w:t>
      </w:r>
    </w:p>
    <w:p w:rsidR="0044751E" w:rsidRPr="00A561E1" w:rsidRDefault="0044751E">
      <w:pPr>
        <w:numPr>
          <w:ilvl w:val="0"/>
          <w:numId w:val="6"/>
        </w:numPr>
      </w:pPr>
      <w:r w:rsidRPr="00A561E1">
        <w:t>System Safety Program Plan</w:t>
      </w:r>
    </w:p>
    <w:p w:rsidR="0044751E" w:rsidRPr="00A561E1" w:rsidRDefault="0044751E">
      <w:pPr>
        <w:numPr>
          <w:ilvl w:val="0"/>
          <w:numId w:val="6"/>
        </w:numPr>
      </w:pPr>
      <w:r w:rsidRPr="00A561E1">
        <w:t>Safety Certification Plan</w:t>
      </w:r>
    </w:p>
    <w:p w:rsidR="0044751E" w:rsidRPr="00A561E1" w:rsidRDefault="0044751E"/>
    <w:p w:rsidR="0044751E" w:rsidRPr="00A561E1" w:rsidRDefault="0044751E">
      <w:r w:rsidRPr="00A561E1">
        <w:t>In general, all listed support documents are acceptable and are currently being implemented by NCTD.</w:t>
      </w:r>
    </w:p>
    <w:p w:rsidR="0044751E" w:rsidRPr="00A561E1" w:rsidRDefault="0044751E"/>
    <w:p w:rsidR="0044751E" w:rsidRPr="00A561E1" w:rsidRDefault="0027079A">
      <w:pPr>
        <w:keepNext/>
        <w:rPr>
          <w:b/>
        </w:rPr>
      </w:pPr>
      <w:smartTag w:uri="urn:schemas-microsoft-com:office:smarttags" w:element="place">
        <w:r w:rsidRPr="00A561E1">
          <w:rPr>
            <w:b/>
          </w:rPr>
          <w:t>E</w:t>
        </w:r>
        <w:r w:rsidR="0044751E" w:rsidRPr="00A561E1">
          <w:rPr>
            <w:b/>
          </w:rPr>
          <w:t>.</w:t>
        </w:r>
        <w:r w:rsidR="0044751E" w:rsidRPr="00A561E1">
          <w:rPr>
            <w:b/>
          </w:rPr>
          <w:tab/>
          <w:t>FFGA</w:t>
        </w:r>
      </w:smartTag>
      <w:r w:rsidR="0044751E" w:rsidRPr="00A561E1">
        <w:rPr>
          <w:b/>
        </w:rPr>
        <w:t xml:space="preserve"> Amendment Attachments Assessment</w:t>
      </w:r>
    </w:p>
    <w:p w:rsidR="0044751E" w:rsidRPr="00A561E1" w:rsidRDefault="0044751E">
      <w:pPr>
        <w:keepNext/>
      </w:pPr>
    </w:p>
    <w:p w:rsidR="0044751E" w:rsidRPr="00A561E1" w:rsidRDefault="0027079A">
      <w:r w:rsidRPr="00A561E1">
        <w:t xml:space="preserve">FFGA Amendment Attachments are called for and described in FTA’s Circular C5200.1A Chapter III dated </w:t>
      </w:r>
      <w:smartTag w:uri="urn:schemas-microsoft-com:office:smarttags" w:element="date">
        <w:smartTagPr>
          <w:attr w:name="Month" w:val="12"/>
          <w:attr w:name="Day" w:val="5"/>
          <w:attr w:name="Year" w:val="2002"/>
        </w:smartTagPr>
        <w:r w:rsidRPr="00A561E1">
          <w:t>December 5, 2002</w:t>
        </w:r>
      </w:smartTag>
      <w:r w:rsidRPr="00A561E1">
        <w:t>.  T</w:t>
      </w:r>
      <w:r w:rsidR="0044751E" w:rsidRPr="00A561E1">
        <w:t xml:space="preserve">he PMOC </w:t>
      </w:r>
      <w:r w:rsidRPr="00A561E1">
        <w:t xml:space="preserve">has </w:t>
      </w:r>
      <w:r w:rsidR="0044751E" w:rsidRPr="00A561E1">
        <w:t>reviewed the following NCTD FFGA Amendment Attachments</w:t>
      </w:r>
      <w:r w:rsidRPr="00A561E1">
        <w:t xml:space="preserve">. </w:t>
      </w:r>
      <w:r w:rsidR="00594B89" w:rsidRPr="00A561E1">
        <w:t xml:space="preserve"> </w:t>
      </w:r>
      <w:r w:rsidRPr="00A561E1">
        <w:t xml:space="preserve">They have been updated from those in the original FFGA to reflect current conditions: </w:t>
      </w:r>
    </w:p>
    <w:p w:rsidR="0044751E" w:rsidRPr="00A561E1" w:rsidRDefault="0044751E"/>
    <w:p w:rsidR="0044751E" w:rsidRPr="00A561E1" w:rsidRDefault="0044751E">
      <w:pPr>
        <w:numPr>
          <w:ilvl w:val="0"/>
          <w:numId w:val="7"/>
        </w:numPr>
      </w:pPr>
      <w:r w:rsidRPr="00A561E1">
        <w:t>Attachment 1 – Scope of the Project</w:t>
      </w:r>
    </w:p>
    <w:p w:rsidR="0044751E" w:rsidRPr="00A561E1" w:rsidRDefault="0044751E">
      <w:pPr>
        <w:numPr>
          <w:ilvl w:val="0"/>
          <w:numId w:val="7"/>
        </w:numPr>
      </w:pPr>
      <w:r w:rsidRPr="00A561E1">
        <w:t>Attachment 1A – Project Map</w:t>
      </w:r>
    </w:p>
    <w:p w:rsidR="0044751E" w:rsidRPr="00A561E1" w:rsidRDefault="0044751E">
      <w:pPr>
        <w:numPr>
          <w:ilvl w:val="0"/>
          <w:numId w:val="7"/>
        </w:numPr>
      </w:pPr>
      <w:r w:rsidRPr="00A561E1">
        <w:t>Attachment 2 – Project Description</w:t>
      </w:r>
    </w:p>
    <w:p w:rsidR="0044751E" w:rsidRPr="00A561E1" w:rsidRDefault="0044751E">
      <w:pPr>
        <w:numPr>
          <w:ilvl w:val="0"/>
          <w:numId w:val="7"/>
        </w:numPr>
      </w:pPr>
      <w:r w:rsidRPr="00A561E1">
        <w:t>Attachment 3 – Baseline Cost Estimate</w:t>
      </w:r>
    </w:p>
    <w:p w:rsidR="0044751E" w:rsidRPr="00A561E1" w:rsidRDefault="0044751E">
      <w:pPr>
        <w:numPr>
          <w:ilvl w:val="0"/>
          <w:numId w:val="7"/>
        </w:numPr>
      </w:pPr>
      <w:r w:rsidRPr="00A561E1">
        <w:t>Attachment 3A – Project Budget</w:t>
      </w:r>
    </w:p>
    <w:p w:rsidR="0044751E" w:rsidRPr="00A561E1" w:rsidRDefault="0044751E">
      <w:pPr>
        <w:numPr>
          <w:ilvl w:val="0"/>
          <w:numId w:val="7"/>
        </w:numPr>
      </w:pPr>
      <w:r w:rsidRPr="00A561E1">
        <w:t>Attachment 4 – Baseline Schedule</w:t>
      </w:r>
    </w:p>
    <w:p w:rsidR="0044751E" w:rsidRPr="00A561E1" w:rsidRDefault="0044751E">
      <w:pPr>
        <w:numPr>
          <w:ilvl w:val="0"/>
          <w:numId w:val="7"/>
        </w:numPr>
      </w:pPr>
      <w:r w:rsidRPr="00A561E1">
        <w:t>Attachment 5 – Prior Grants and Related Documents</w:t>
      </w:r>
    </w:p>
    <w:p w:rsidR="0044751E" w:rsidRPr="00A561E1" w:rsidRDefault="0044751E">
      <w:pPr>
        <w:numPr>
          <w:ilvl w:val="0"/>
          <w:numId w:val="7"/>
        </w:numPr>
      </w:pPr>
      <w:r w:rsidRPr="00A561E1">
        <w:t>Attachment 6 – Schedule of Federal Funds</w:t>
      </w:r>
    </w:p>
    <w:p w:rsidR="0044751E" w:rsidRPr="00A561E1" w:rsidRDefault="0044751E">
      <w:pPr>
        <w:numPr>
          <w:ilvl w:val="0"/>
          <w:numId w:val="7"/>
        </w:numPr>
      </w:pPr>
      <w:r w:rsidRPr="00A561E1">
        <w:t>Attachment 7 – Measures to Mitigate Environmental Impacts</w:t>
      </w:r>
    </w:p>
    <w:p w:rsidR="0044751E" w:rsidRPr="00A561E1" w:rsidRDefault="0044751E">
      <w:pPr>
        <w:numPr>
          <w:ilvl w:val="0"/>
          <w:numId w:val="7"/>
        </w:numPr>
      </w:pPr>
      <w:r w:rsidRPr="00A561E1">
        <w:t>Attachment 8 – Before-and-After Study</w:t>
      </w:r>
    </w:p>
    <w:p w:rsidR="0044751E" w:rsidRPr="00A561E1" w:rsidRDefault="0044751E"/>
    <w:p w:rsidR="0044751E" w:rsidRPr="00A561E1" w:rsidRDefault="0044751E">
      <w:r w:rsidRPr="00A561E1">
        <w:t>The PMOC conclude</w:t>
      </w:r>
      <w:r w:rsidR="0027079A" w:rsidRPr="00A561E1">
        <w:t>s</w:t>
      </w:r>
      <w:r w:rsidRPr="00A561E1">
        <w:t xml:space="preserve"> that the Attachments are consistent with the FTA guidance and are considered acceptable.</w:t>
      </w:r>
    </w:p>
    <w:p w:rsidR="0044751E" w:rsidRPr="00A561E1" w:rsidRDefault="0044751E"/>
    <w:p w:rsidR="0044751E" w:rsidRPr="00A561E1" w:rsidRDefault="00470E3C" w:rsidP="000225EE">
      <w:pPr>
        <w:keepNext/>
        <w:rPr>
          <w:b/>
        </w:rPr>
      </w:pPr>
      <w:r w:rsidRPr="00A561E1">
        <w:rPr>
          <w:b/>
        </w:rPr>
        <w:t>F</w:t>
      </w:r>
      <w:r w:rsidR="0044751E" w:rsidRPr="00A561E1">
        <w:rPr>
          <w:b/>
        </w:rPr>
        <w:t>.</w:t>
      </w:r>
      <w:r w:rsidR="0044751E" w:rsidRPr="00A561E1">
        <w:rPr>
          <w:b/>
        </w:rPr>
        <w:tab/>
        <w:t>Conclusion</w:t>
      </w:r>
    </w:p>
    <w:p w:rsidR="0044751E" w:rsidRPr="00A561E1" w:rsidRDefault="0044751E" w:rsidP="000225EE">
      <w:pPr>
        <w:keepNext/>
      </w:pPr>
    </w:p>
    <w:bookmarkEnd w:id="46"/>
    <w:bookmarkEnd w:id="47"/>
    <w:p w:rsidR="0044751E" w:rsidRPr="00A561E1" w:rsidRDefault="0044751E">
      <w:pPr>
        <w:sectPr w:rsidR="0044751E" w:rsidRPr="00A561E1">
          <w:headerReference w:type="even" r:id="rId13"/>
          <w:headerReference w:type="default" r:id="rId14"/>
          <w:footerReference w:type="default" r:id="rId15"/>
          <w:headerReference w:type="first" r:id="rId16"/>
          <w:pgSz w:w="12240" w:h="15840" w:code="1"/>
          <w:pgMar w:top="1440" w:right="1440" w:bottom="1728" w:left="1440" w:header="720" w:footer="720" w:gutter="0"/>
          <w:pgNumType w:fmt="lowerRoman"/>
          <w:cols w:space="720"/>
          <w:docGrid w:linePitch="360"/>
        </w:sectPr>
      </w:pPr>
      <w:r w:rsidRPr="00A561E1">
        <w:t>The PMOC has re-evaluated NCTD’s technical capacity and capability to complete the SPRINTER Project within the scope, schedule, and budget through discussions with NCTD, its consultants, and its contractors and through study of NCTD’s updated documentation including the ARP, the EAC, and the proposed FFGA Amendment Attachments and other supporting documentation.  Based on a thorough evaluation and document review</w:t>
      </w:r>
      <w:r w:rsidR="000225EE" w:rsidRPr="00A561E1">
        <w:t>,</w:t>
      </w:r>
      <w:r w:rsidRPr="00A561E1">
        <w:t xml:space="preserve"> the PMOC has determined </w:t>
      </w:r>
      <w:r w:rsidR="0015010F" w:rsidRPr="00A561E1">
        <w:t>that the amended budget and schedule are adequate</w:t>
      </w:r>
      <w:r w:rsidR="00133FF0" w:rsidRPr="00A561E1">
        <w:t xml:space="preserve"> and reasonable.  </w:t>
      </w:r>
      <w:r w:rsidR="00FB58B4" w:rsidRPr="00A561E1">
        <w:t xml:space="preserve">The PMOC determined the current level of confidence for achieving the FFGA Amendment budget of $484.1M is approximately 89%.  </w:t>
      </w:r>
      <w:r w:rsidR="00B01FC5" w:rsidRPr="00A561E1">
        <w:t>Based on these evaluations and findings, t</w:t>
      </w:r>
      <w:r w:rsidR="009C251F" w:rsidRPr="00A561E1">
        <w:t>he PMOC recommend</w:t>
      </w:r>
      <w:r w:rsidR="00B01FC5" w:rsidRPr="00A561E1">
        <w:t>s to</w:t>
      </w:r>
      <w:r w:rsidR="009C251F" w:rsidRPr="00A561E1">
        <w:t xml:space="preserve"> FTA execut</w:t>
      </w:r>
      <w:r w:rsidR="00B01FC5" w:rsidRPr="00A561E1">
        <w:t xml:space="preserve">ion of the </w:t>
      </w:r>
      <w:r w:rsidR="009C251F" w:rsidRPr="00A561E1">
        <w:t>FFGA Amendment.</w:t>
      </w:r>
    </w:p>
    <w:p w:rsidR="0044751E" w:rsidRPr="00A561E1" w:rsidRDefault="0044751E">
      <w:pPr>
        <w:pStyle w:val="Heading2"/>
        <w:numPr>
          <w:ilvl w:val="1"/>
          <w:numId w:val="1"/>
        </w:numPr>
      </w:pPr>
      <w:bookmarkStart w:id="48" w:name="_Toc186615019"/>
      <w:r w:rsidRPr="00A561E1">
        <w:t>INTRODUCTION</w:t>
      </w:r>
      <w:bookmarkEnd w:id="48"/>
    </w:p>
    <w:p w:rsidR="004A2346" w:rsidRPr="00A561E1" w:rsidRDefault="004A2346" w:rsidP="004A2346">
      <w:r w:rsidRPr="00A561E1">
        <w:t xml:space="preserve">To support FTA’s decision to amend the Full Funding Grant Agreement (FFGA) for the North County Transit District’s (NCTD) Oceanside-Escondido (SPRINTER) Rail Project, the Project Management Oversight Contractor (PMOC) has assessed the project budget and schedule in light of the progress of work to date.  The PMOC has reviewed the FFGA Amendment, its Attachments and its related supporting documents.  Finally, the PMOC has re-evaluated NCTD’s technical capacity and capability to complete the project within the scope, schedule, and budget as described in the proposed FFGA Amendment and in </w:t>
      </w:r>
      <w:r>
        <w:t xml:space="preserve">Revision 5 of </w:t>
      </w:r>
      <w:r w:rsidRPr="00A561E1">
        <w:t>NCTD’s Project Management Plan (PMP).</w:t>
      </w:r>
    </w:p>
    <w:p w:rsidR="004A2346" w:rsidRPr="00A561E1" w:rsidRDefault="004A2346" w:rsidP="004A2346"/>
    <w:p w:rsidR="0044751E" w:rsidRDefault="004A2346" w:rsidP="004A2346">
      <w:r w:rsidRPr="00A561E1">
        <w:t xml:space="preserve">This report, Spot Report </w:t>
      </w:r>
      <w:smartTag w:uri="urn:schemas-microsoft-com:office:smarttags" w:element="PersonName">
        <w:r w:rsidRPr="00A561E1">
          <w:t>#</w:t>
        </w:r>
      </w:smartTag>
      <w:r w:rsidRPr="00A561E1">
        <w:t>11, includes the PMOC’s findings and conclusions as well as its recommendation to FTA to proceed with the FFGA Amendment.</w:t>
      </w:r>
    </w:p>
    <w:p w:rsidR="004A2346" w:rsidRPr="00A561E1" w:rsidRDefault="004A2346" w:rsidP="004A2346"/>
    <w:p w:rsidR="0044751E" w:rsidRPr="00A561E1" w:rsidRDefault="0044751E">
      <w:pPr>
        <w:pStyle w:val="Heading3"/>
      </w:pPr>
      <w:bookmarkStart w:id="49" w:name="_Toc186615020"/>
      <w:r w:rsidRPr="00A561E1">
        <w:t>Project Description</w:t>
      </w:r>
      <w:bookmarkEnd w:id="49"/>
    </w:p>
    <w:p w:rsidR="0044751E" w:rsidRPr="00A561E1" w:rsidRDefault="0044751E">
      <w:r w:rsidRPr="00A561E1">
        <w:t xml:space="preserve">The SPRINTER Project consists of converting 22 miles of existing freight rail alignment into a Diesel Multiple Unit (DMU) passenger light rail system.  The rail project is situated along State Route 78, the principal east-west corridor in </w:t>
      </w:r>
      <w:smartTag w:uri="urn:schemas-microsoft-com:office:smarttags" w:element="place">
        <w:smartTag w:uri="urn:schemas-microsoft-com:office:smarttags" w:element="PlaceName">
          <w:r w:rsidRPr="00A561E1">
            <w:t>Northern</w:t>
          </w:r>
        </w:smartTag>
        <w:r w:rsidRPr="00A561E1">
          <w:t xml:space="preserve"> </w:t>
        </w:r>
        <w:smartTag w:uri="urn:schemas-microsoft-com:office:smarttags" w:element="PlaceName">
          <w:r w:rsidRPr="00A561E1">
            <w:t>San Diego</w:t>
          </w:r>
        </w:smartTag>
        <w:r w:rsidRPr="00A561E1">
          <w:t xml:space="preserve"> </w:t>
        </w:r>
        <w:smartTag w:uri="urn:schemas-microsoft-com:office:smarttags" w:element="PlaceType">
          <w:r w:rsidRPr="00A561E1">
            <w:t>County</w:t>
          </w:r>
        </w:smartTag>
      </w:smartTag>
      <w:r w:rsidRPr="00A561E1">
        <w:t xml:space="preserve">.  The passenger line will run inland from the coastal City of </w:t>
      </w:r>
      <w:smartTag w:uri="urn:schemas-microsoft-com:office:smarttags" w:element="City">
        <w:r w:rsidRPr="00A561E1">
          <w:t>Oceanside</w:t>
        </w:r>
      </w:smartTag>
      <w:r w:rsidRPr="00A561E1">
        <w:t xml:space="preserve"> through the cities of Vista, and </w:t>
      </w:r>
      <w:smartTag w:uri="urn:schemas-microsoft-com:office:smarttags" w:element="City">
        <w:r w:rsidRPr="00A561E1">
          <w:t>San Marcos</w:t>
        </w:r>
      </w:smartTag>
      <w:r w:rsidRPr="00A561E1">
        <w:t xml:space="preserve">, and the unincorporated areas of the </w:t>
      </w:r>
      <w:smartTag w:uri="urn:schemas-microsoft-com:office:smarttags" w:element="PlaceType">
        <w:r w:rsidRPr="00A561E1">
          <w:t>County</w:t>
        </w:r>
      </w:smartTag>
      <w:r w:rsidRPr="00A561E1">
        <w:t xml:space="preserve"> of </w:t>
      </w:r>
      <w:smartTag w:uri="urn:schemas-microsoft-com:office:smarttags" w:element="PlaceName">
        <w:r w:rsidRPr="00A561E1">
          <w:t>San Diego</w:t>
        </w:r>
      </w:smartTag>
      <w:r w:rsidRPr="00A561E1">
        <w:t xml:space="preserve"> to the City of </w:t>
      </w:r>
      <w:smartTag w:uri="urn:schemas-microsoft-com:office:smarttags" w:element="place">
        <w:smartTag w:uri="urn:schemas-microsoft-com:office:smarttags" w:element="City">
          <w:r w:rsidRPr="00A561E1">
            <w:t>Escondido</w:t>
          </w:r>
        </w:smartTag>
      </w:smartTag>
      <w:r w:rsidRPr="00A561E1">
        <w:t xml:space="preserve">.  Passenger service will be provided along a joint use corridor where freight service will be operated through a shared use agreement and will be temporally separated from passenger operations.  The project will also include 1.7 miles of new DMU exclusive right-of-way to serve the campus of </w:t>
      </w:r>
      <w:smartTag w:uri="urn:schemas-microsoft-com:office:smarttags" w:element="PlaceName">
        <w:r w:rsidRPr="00A561E1">
          <w:t>California</w:t>
        </w:r>
      </w:smartTag>
      <w:r w:rsidRPr="00A561E1">
        <w:t xml:space="preserve"> </w:t>
      </w:r>
      <w:smartTag w:uri="urn:schemas-microsoft-com:office:smarttags" w:element="PlaceType">
        <w:r w:rsidRPr="00A561E1">
          <w:t>State</w:t>
        </w:r>
      </w:smartTag>
      <w:r w:rsidRPr="00A561E1">
        <w:t xml:space="preserve"> </w:t>
      </w:r>
      <w:smartTag w:uri="urn:schemas-microsoft-com:office:smarttags" w:element="PlaceType">
        <w:r w:rsidRPr="00A561E1">
          <w:t>University</w:t>
        </w:r>
      </w:smartTag>
      <w:r w:rsidRPr="00A561E1">
        <w:t xml:space="preserve"> at </w:t>
      </w:r>
      <w:smartTag w:uri="urn:schemas-microsoft-com:office:smarttags" w:element="place">
        <w:smartTag w:uri="urn:schemas-microsoft-com:office:smarttags" w:element="City">
          <w:r w:rsidRPr="00A561E1">
            <w:t>San Marcos</w:t>
          </w:r>
        </w:smartTag>
      </w:smartTag>
      <w:r w:rsidRPr="00A561E1">
        <w:t xml:space="preserve">.  Passenger rail service will be provided at 15 stations.  The project is being constructed by means of three major construction contracts and two equipment procurements as well as several ancillary contracts.  The delivery strategy for the construction contracts for the project is a traditional design/bid/build approach with contractor selection via low bid under State of </w:t>
      </w:r>
      <w:smartTag w:uri="urn:schemas-microsoft-com:office:smarttags" w:element="place">
        <w:smartTag w:uri="urn:schemas-microsoft-com:office:smarttags" w:element="State">
          <w:r w:rsidRPr="00A561E1">
            <w:t>California</w:t>
          </w:r>
        </w:smartTag>
      </w:smartTag>
      <w:r w:rsidRPr="00A561E1">
        <w:t xml:space="preserve"> public contracts code requirements.  The primary equipment contract involves NCTD procuring 12 DMU vehicles from Siemens.</w:t>
      </w:r>
    </w:p>
    <w:p w:rsidR="00470E3C" w:rsidRPr="00A561E1" w:rsidRDefault="00470E3C"/>
    <w:p w:rsidR="00470E3C" w:rsidRPr="00A561E1" w:rsidRDefault="00470E3C">
      <w:r w:rsidRPr="00A561E1">
        <w:t xml:space="preserve">A chronology of project events </w:t>
      </w:r>
      <w:r w:rsidR="00414AD0">
        <w:t xml:space="preserve">leading to the </w:t>
      </w:r>
      <w:r w:rsidR="00DB5CB5">
        <w:t xml:space="preserve">need for </w:t>
      </w:r>
      <w:r w:rsidR="00B002C1">
        <w:t>an</w:t>
      </w:r>
      <w:r w:rsidR="00DB5CB5">
        <w:t xml:space="preserve"> </w:t>
      </w:r>
      <w:r w:rsidR="00414AD0">
        <w:t xml:space="preserve">FFGA Amendment </w:t>
      </w:r>
      <w:r w:rsidRPr="00A561E1">
        <w:t xml:space="preserve">is provided in Appendix </w:t>
      </w:r>
      <w:r w:rsidR="003D4802" w:rsidRPr="00A561E1">
        <w:t>A</w:t>
      </w:r>
      <w:r w:rsidR="00414AD0">
        <w:t xml:space="preserve"> of this report.</w:t>
      </w:r>
    </w:p>
    <w:p w:rsidR="0044751E" w:rsidRPr="00A561E1" w:rsidRDefault="0044751E"/>
    <w:p w:rsidR="0044751E" w:rsidRPr="00A561E1" w:rsidRDefault="0044751E">
      <w:pPr>
        <w:pStyle w:val="Heading3"/>
      </w:pPr>
      <w:bookmarkStart w:id="50" w:name="_Toc186615021"/>
      <w:r w:rsidRPr="00A561E1">
        <w:t>Project Status</w:t>
      </w:r>
      <w:bookmarkEnd w:id="50"/>
    </w:p>
    <w:p w:rsidR="003060F4" w:rsidRDefault="003060F4" w:rsidP="003060F4">
      <w:r w:rsidRPr="00A561E1">
        <w:t>The Project is 84% complete with construction 94% complete (based on the overall Project Budget of $484.1M).  All consultant, construction, and procurement contracts have been awarded for the Project. Construction is complete on the San Marcos Loop Contract and Vehicle Maintenance Facility (VMF).  The Mainline and Stations Contract is 93% complete.  All 12 Diesel Multiple Unit (DMU) vehicles have been received, have been conditionally accepted, and are undergoing burn-in.  Burn-in of the DMUs may extend beyond the start of initial revenue service, but this will not impact NCTD’s operations since this is a warranty issue and not tied to safety certification requirements.</w:t>
      </w:r>
    </w:p>
    <w:p w:rsidR="003060F4" w:rsidRPr="00A561E1" w:rsidRDefault="003060F4" w:rsidP="003060F4"/>
    <w:p w:rsidR="003060F4" w:rsidRPr="00A561E1" w:rsidRDefault="003060F4" w:rsidP="003060F4">
      <w:r w:rsidRPr="00A561E1">
        <w:t xml:space="preserve">For NCTD to begin any revenue service, it must fully complete all testing, training, and the safety certification process to the satisfaction of the California Public Utilities Commission (CPUC).  In the PMOC’s opinion, it is likely that the work will be completed and the approval will be received from CPUC in </w:t>
      </w:r>
      <w:r>
        <w:t>mid-</w:t>
      </w:r>
      <w:r w:rsidRPr="00A561E1">
        <w:t xml:space="preserve">January 2008.  In addition, the CPUC must approve NCTD’s System Safety Program Plan and System Security Plan.  </w:t>
      </w:r>
      <w:r>
        <w:t>Action on b</w:t>
      </w:r>
      <w:r w:rsidRPr="00A561E1">
        <w:t xml:space="preserve">oth plans </w:t>
      </w:r>
      <w:r>
        <w:t xml:space="preserve">has been included in the agenda for the </w:t>
      </w:r>
      <w:smartTag w:uri="urn:schemas-microsoft-com:office:smarttags" w:element="date">
        <w:smartTagPr>
          <w:attr w:name="Month" w:val="1"/>
          <w:attr w:name="Day" w:val="10"/>
          <w:attr w:name="Year" w:val="2008"/>
        </w:smartTagPr>
        <w:r w:rsidRPr="00A561E1">
          <w:t>January 10, 2008</w:t>
        </w:r>
      </w:smartTag>
      <w:r w:rsidRPr="00A561E1">
        <w:t xml:space="preserve"> Commission </w:t>
      </w:r>
      <w:r>
        <w:t>meeting</w:t>
      </w:r>
      <w:r w:rsidRPr="00A561E1">
        <w:t>.</w:t>
      </w:r>
    </w:p>
    <w:p w:rsidR="003060F4" w:rsidRPr="00A561E1" w:rsidRDefault="003060F4" w:rsidP="003060F4"/>
    <w:p w:rsidR="003060F4" w:rsidRPr="00A561E1" w:rsidRDefault="003060F4" w:rsidP="003060F4">
      <w:pPr>
        <w:rPr>
          <w:sz w:val="20"/>
          <w:szCs w:val="20"/>
        </w:rPr>
      </w:pPr>
      <w:r w:rsidRPr="00A561E1">
        <w:t xml:space="preserve">NCTD held an inaugural celebration on </w:t>
      </w:r>
      <w:smartTag w:uri="urn:schemas-microsoft-com:office:smarttags" w:element="date">
        <w:smartTagPr>
          <w:attr w:name="Month" w:val="12"/>
          <w:attr w:name="Day" w:val="28"/>
          <w:attr w:name="Year" w:val="2007"/>
        </w:smartTagPr>
        <w:r w:rsidRPr="00A561E1">
          <w:t>December 28, 2007</w:t>
        </w:r>
      </w:smartTag>
      <w:r>
        <w:t xml:space="preserve">.  They are </w:t>
      </w:r>
      <w:r w:rsidRPr="00A561E1">
        <w:t>working towards a staged opening with possibly two initial stages and a stage consisting of full revenue operations.</w:t>
      </w:r>
      <w:r>
        <w:t xml:space="preserve">  </w:t>
      </w:r>
      <w:r w:rsidRPr="00A561E1">
        <w:t xml:space="preserve">It should be noted that the full revenue service will include the complete scope of the project and will be achieved by the FFGA Amendment ROD of </w:t>
      </w:r>
      <w:smartTag w:uri="urn:schemas-microsoft-com:office:smarttags" w:element="date">
        <w:smartTagPr>
          <w:attr w:name="Month" w:val="7"/>
          <w:attr w:name="Day" w:val="1"/>
          <w:attr w:name="Year" w:val="2008"/>
        </w:smartTagPr>
        <w:r w:rsidRPr="00A561E1">
          <w:t>July 1, 2008</w:t>
        </w:r>
      </w:smartTag>
      <w:r w:rsidRPr="00A561E1">
        <w:t>.</w:t>
      </w:r>
    </w:p>
    <w:p w:rsidR="003060F4" w:rsidRPr="00A561E1" w:rsidRDefault="003060F4" w:rsidP="003060F4"/>
    <w:p w:rsidR="003060F4" w:rsidRPr="00A561E1" w:rsidRDefault="003060F4" w:rsidP="003060F4"/>
    <w:p w:rsidR="003060F4" w:rsidRPr="00A561E1" w:rsidRDefault="003060F4" w:rsidP="003060F4">
      <w:r w:rsidRPr="00A561E1">
        <w:t>NCTD plans the first stage of revenue service to occur in January 2008.  This stage will consist of a limited schedule along a portion or entire length of the corridor.  This will constitute a “soft opening”.  It is anticipated that all twelve vehicles will be put into service during the “soft opening”.</w:t>
      </w:r>
    </w:p>
    <w:p w:rsidR="003060F4" w:rsidRPr="00A561E1" w:rsidRDefault="003060F4" w:rsidP="003060F4"/>
    <w:p w:rsidR="003060F4" w:rsidRPr="00A561E1" w:rsidRDefault="003060F4" w:rsidP="003060F4">
      <w:r w:rsidRPr="00A561E1">
        <w:t xml:space="preserve">The second stage is tied to NCTD’s bus service adjustments scheduled to begin by the end of January 2008.  This level of service will consist of a standard schedule over the entire length of the line and will be designated as modified full revenue service since the eastbound platform at the Escondido Avenue Station will not yet be complete with construction. NCTD has developed work-around solution to ensure patrons that need access to this station have the ability to do so.  NCTD has also developed a permanent </w:t>
      </w:r>
      <w:r>
        <w:t xml:space="preserve">design </w:t>
      </w:r>
      <w:r w:rsidRPr="00A561E1">
        <w:t>solution and has begun implementing the solution.</w:t>
      </w:r>
    </w:p>
    <w:p w:rsidR="003060F4" w:rsidRPr="00A561E1" w:rsidRDefault="003060F4" w:rsidP="003060F4"/>
    <w:p w:rsidR="003060F4" w:rsidRPr="00A561E1" w:rsidRDefault="003060F4" w:rsidP="003060F4">
      <w:r w:rsidRPr="00A561E1">
        <w:t>The operating plans for the initial stages and the full revenue service are being finalized by NCTD and their contractor Veolia.  The difficulties associated with such a staged approach include potential ongoing construction activity adjacent to an active rail line.</w:t>
      </w:r>
      <w:r>
        <w:t xml:space="preserve">  However, the operating plans take this into consideration.</w:t>
      </w:r>
    </w:p>
    <w:p w:rsidR="003060F4" w:rsidRPr="00A561E1" w:rsidRDefault="003060F4" w:rsidP="003060F4"/>
    <w:p w:rsidR="00CD6E57" w:rsidRPr="00A561E1" w:rsidRDefault="003060F4" w:rsidP="003060F4">
      <w:r w:rsidRPr="00A561E1">
        <w:t>The final stage consists of full revenue service and will likely occur by April 2008 pending completion of the construction at the Escondido Avenue Station.</w:t>
      </w:r>
    </w:p>
    <w:p w:rsidR="00332F56" w:rsidRPr="00A561E1" w:rsidRDefault="00332F56" w:rsidP="00332F56"/>
    <w:p w:rsidR="00CD6E57" w:rsidRPr="00A561E1" w:rsidRDefault="00CD6E57" w:rsidP="00BC196A">
      <w:pPr>
        <w:rPr>
          <w:sz w:val="20"/>
          <w:szCs w:val="20"/>
        </w:rPr>
      </w:pPr>
      <w:r w:rsidRPr="00A561E1">
        <w:t>The following table provides the status of all primary contracts.</w:t>
      </w:r>
      <w:r w:rsidR="00BA3CAB" w:rsidRPr="00A561E1">
        <w:t xml:space="preserve"> </w:t>
      </w:r>
    </w:p>
    <w:p w:rsidR="0044751E" w:rsidRPr="00A561E1" w:rsidRDefault="0044751E"/>
    <w:p w:rsidR="0044751E" w:rsidRPr="00A561E1" w:rsidRDefault="0044751E" w:rsidP="00C53511">
      <w:pPr>
        <w:pStyle w:val="Caption"/>
      </w:pPr>
      <w:bookmarkStart w:id="51" w:name="_Toc186615050"/>
      <w:r w:rsidRPr="00A561E1">
        <w:t xml:space="preserve">Table </w:t>
      </w:r>
      <w:fldSimple w:instr=" SEQ Table \* ARABIC ">
        <w:r w:rsidR="00F01E8C">
          <w:rPr>
            <w:noProof/>
          </w:rPr>
          <w:t>1</w:t>
        </w:r>
      </w:fldSimple>
      <w:r w:rsidRPr="00A561E1">
        <w:t>.</w:t>
      </w:r>
      <w:r w:rsidRPr="00A561E1">
        <w:tab/>
        <w:t>Contract Status</w:t>
      </w:r>
      <w:bookmarkEnd w:id="51"/>
    </w:p>
    <w:tbl>
      <w:tblPr>
        <w:tblStyle w:val="TableGrid"/>
        <w:tblW w:w="0" w:type="auto"/>
        <w:jc w:val="center"/>
        <w:tblLook w:val="01E0" w:firstRow="1" w:lastRow="1" w:firstColumn="1" w:lastColumn="1" w:noHBand="0" w:noVBand="0"/>
      </w:tblPr>
      <w:tblGrid>
        <w:gridCol w:w="3311"/>
        <w:gridCol w:w="1440"/>
        <w:gridCol w:w="1440"/>
        <w:gridCol w:w="1440"/>
        <w:gridCol w:w="1440"/>
      </w:tblGrid>
      <w:tr w:rsidR="0044751E" w:rsidRPr="00A561E1">
        <w:trPr>
          <w:jc w:val="center"/>
        </w:trPr>
        <w:tc>
          <w:tcPr>
            <w:tcW w:w="3311" w:type="dxa"/>
            <w:vAlign w:val="center"/>
          </w:tcPr>
          <w:p w:rsidR="0044751E" w:rsidRPr="00A561E1" w:rsidRDefault="0044751E" w:rsidP="00C53511">
            <w:pPr>
              <w:keepNext/>
              <w:jc w:val="center"/>
              <w:rPr>
                <w:b/>
                <w:sz w:val="20"/>
                <w:szCs w:val="20"/>
              </w:rPr>
            </w:pPr>
            <w:r w:rsidRPr="00A561E1">
              <w:rPr>
                <w:b/>
                <w:sz w:val="20"/>
                <w:szCs w:val="20"/>
              </w:rPr>
              <w:t>Contract</w:t>
            </w:r>
          </w:p>
        </w:tc>
        <w:tc>
          <w:tcPr>
            <w:tcW w:w="1440" w:type="dxa"/>
            <w:vAlign w:val="center"/>
          </w:tcPr>
          <w:p w:rsidR="0044751E" w:rsidRPr="00A561E1" w:rsidRDefault="0044751E" w:rsidP="00C53511">
            <w:pPr>
              <w:keepNext/>
              <w:jc w:val="center"/>
              <w:rPr>
                <w:b/>
                <w:sz w:val="20"/>
                <w:szCs w:val="20"/>
              </w:rPr>
            </w:pPr>
            <w:r w:rsidRPr="00A561E1">
              <w:rPr>
                <w:b/>
                <w:sz w:val="20"/>
                <w:szCs w:val="20"/>
              </w:rPr>
              <w:t>Notice to Proceed Date</w:t>
            </w:r>
          </w:p>
        </w:tc>
        <w:tc>
          <w:tcPr>
            <w:tcW w:w="1440" w:type="dxa"/>
            <w:vAlign w:val="center"/>
          </w:tcPr>
          <w:p w:rsidR="0044751E" w:rsidRPr="00A561E1" w:rsidRDefault="0044751E" w:rsidP="00C53511">
            <w:pPr>
              <w:keepNext/>
              <w:jc w:val="center"/>
              <w:rPr>
                <w:b/>
                <w:sz w:val="20"/>
                <w:szCs w:val="20"/>
              </w:rPr>
            </w:pPr>
            <w:r w:rsidRPr="00A561E1">
              <w:rPr>
                <w:b/>
                <w:sz w:val="20"/>
                <w:szCs w:val="20"/>
              </w:rPr>
              <w:t>Current Contract Value (M)</w:t>
            </w:r>
          </w:p>
        </w:tc>
        <w:tc>
          <w:tcPr>
            <w:tcW w:w="1440" w:type="dxa"/>
            <w:vAlign w:val="center"/>
          </w:tcPr>
          <w:p w:rsidR="0044751E" w:rsidRPr="00A561E1" w:rsidRDefault="0044751E" w:rsidP="00C53511">
            <w:pPr>
              <w:keepNext/>
              <w:jc w:val="center"/>
              <w:rPr>
                <w:b/>
                <w:sz w:val="20"/>
                <w:szCs w:val="20"/>
              </w:rPr>
            </w:pPr>
            <w:r w:rsidRPr="00A561E1">
              <w:rPr>
                <w:b/>
                <w:sz w:val="20"/>
                <w:szCs w:val="20"/>
              </w:rPr>
              <w:t>Percent Complete</w:t>
            </w:r>
          </w:p>
        </w:tc>
        <w:tc>
          <w:tcPr>
            <w:tcW w:w="1440" w:type="dxa"/>
          </w:tcPr>
          <w:p w:rsidR="0044751E" w:rsidRPr="00A561E1" w:rsidRDefault="0044751E" w:rsidP="00C53511">
            <w:pPr>
              <w:keepNext/>
              <w:jc w:val="center"/>
              <w:rPr>
                <w:b/>
                <w:sz w:val="20"/>
                <w:szCs w:val="20"/>
              </w:rPr>
            </w:pPr>
            <w:r w:rsidRPr="00A561E1">
              <w:rPr>
                <w:b/>
                <w:sz w:val="20"/>
                <w:szCs w:val="20"/>
              </w:rPr>
              <w:t>Completion Date</w:t>
            </w:r>
          </w:p>
          <w:p w:rsidR="0044751E" w:rsidRPr="00A561E1" w:rsidRDefault="0044751E" w:rsidP="00C53511">
            <w:pPr>
              <w:keepNext/>
              <w:jc w:val="center"/>
              <w:rPr>
                <w:b/>
                <w:sz w:val="20"/>
                <w:szCs w:val="20"/>
              </w:rPr>
            </w:pPr>
            <w:r w:rsidRPr="00A561E1">
              <w:rPr>
                <w:b/>
                <w:sz w:val="20"/>
                <w:szCs w:val="20"/>
              </w:rPr>
              <w:t>(Forecast)</w:t>
            </w:r>
          </w:p>
        </w:tc>
      </w:tr>
      <w:tr w:rsidR="0044751E" w:rsidRPr="00A561E1">
        <w:trPr>
          <w:jc w:val="center"/>
        </w:trPr>
        <w:tc>
          <w:tcPr>
            <w:tcW w:w="3311" w:type="dxa"/>
          </w:tcPr>
          <w:p w:rsidR="0044751E" w:rsidRPr="00A561E1" w:rsidRDefault="0044751E" w:rsidP="00C53511">
            <w:pPr>
              <w:keepNext/>
              <w:jc w:val="left"/>
              <w:rPr>
                <w:sz w:val="20"/>
                <w:szCs w:val="20"/>
              </w:rPr>
            </w:pPr>
            <w:r w:rsidRPr="00A561E1">
              <w:rPr>
                <w:sz w:val="20"/>
                <w:szCs w:val="20"/>
              </w:rPr>
              <w:t>Mainline and Stations</w:t>
            </w:r>
          </w:p>
        </w:tc>
        <w:tc>
          <w:tcPr>
            <w:tcW w:w="1440" w:type="dxa"/>
          </w:tcPr>
          <w:p w:rsidR="0044751E" w:rsidRPr="00A561E1" w:rsidRDefault="0044751E" w:rsidP="00C53511">
            <w:pPr>
              <w:keepNext/>
              <w:jc w:val="right"/>
              <w:rPr>
                <w:sz w:val="20"/>
                <w:szCs w:val="20"/>
              </w:rPr>
            </w:pPr>
            <w:smartTag w:uri="urn:schemas-microsoft-com:office:smarttags" w:element="date">
              <w:smartTagPr>
                <w:attr w:name="Month" w:val="9"/>
                <w:attr w:name="Day" w:val="21"/>
                <w:attr w:name="Year" w:val="2004"/>
              </w:smartTagPr>
              <w:r w:rsidRPr="00A561E1">
                <w:rPr>
                  <w:sz w:val="20"/>
                  <w:szCs w:val="20"/>
                </w:rPr>
                <w:t>21-Sep-04</w:t>
              </w:r>
            </w:smartTag>
          </w:p>
        </w:tc>
        <w:tc>
          <w:tcPr>
            <w:tcW w:w="1440" w:type="dxa"/>
          </w:tcPr>
          <w:p w:rsidR="0044751E" w:rsidRPr="00A561E1" w:rsidRDefault="0044751E" w:rsidP="00C53511">
            <w:pPr>
              <w:keepNext/>
              <w:jc w:val="right"/>
              <w:rPr>
                <w:sz w:val="20"/>
                <w:szCs w:val="20"/>
              </w:rPr>
            </w:pPr>
            <w:r w:rsidRPr="00A561E1">
              <w:rPr>
                <w:sz w:val="20"/>
                <w:szCs w:val="20"/>
              </w:rPr>
              <w:t>$</w:t>
            </w:r>
            <w:r w:rsidR="00BA61F9" w:rsidRPr="00A561E1">
              <w:rPr>
                <w:sz w:val="20"/>
                <w:szCs w:val="20"/>
              </w:rPr>
              <w:t>20</w:t>
            </w:r>
            <w:r w:rsidR="00CC19B4">
              <w:rPr>
                <w:sz w:val="20"/>
                <w:szCs w:val="20"/>
              </w:rPr>
              <w:t>8.7</w:t>
            </w:r>
          </w:p>
        </w:tc>
        <w:tc>
          <w:tcPr>
            <w:tcW w:w="1440" w:type="dxa"/>
          </w:tcPr>
          <w:p w:rsidR="0044751E" w:rsidRPr="00A561E1" w:rsidRDefault="00C53511" w:rsidP="00C53511">
            <w:pPr>
              <w:keepNext/>
              <w:jc w:val="right"/>
              <w:rPr>
                <w:sz w:val="20"/>
                <w:szCs w:val="20"/>
              </w:rPr>
            </w:pPr>
            <w:r w:rsidRPr="00A561E1">
              <w:rPr>
                <w:sz w:val="20"/>
                <w:szCs w:val="20"/>
              </w:rPr>
              <w:t>9</w:t>
            </w:r>
            <w:r w:rsidR="00332F56" w:rsidRPr="00A561E1">
              <w:rPr>
                <w:sz w:val="20"/>
                <w:szCs w:val="20"/>
              </w:rPr>
              <w:t>3</w:t>
            </w:r>
            <w:r w:rsidR="0044751E" w:rsidRPr="00A561E1">
              <w:rPr>
                <w:sz w:val="20"/>
                <w:szCs w:val="20"/>
              </w:rPr>
              <w:t>%</w:t>
            </w:r>
          </w:p>
        </w:tc>
        <w:tc>
          <w:tcPr>
            <w:tcW w:w="1440" w:type="dxa"/>
          </w:tcPr>
          <w:p w:rsidR="0044751E" w:rsidRPr="00A561E1" w:rsidRDefault="0044751E" w:rsidP="00C53511">
            <w:pPr>
              <w:keepNext/>
              <w:jc w:val="right"/>
              <w:rPr>
                <w:sz w:val="20"/>
                <w:szCs w:val="20"/>
              </w:rPr>
            </w:pPr>
            <w:r w:rsidRPr="00A561E1">
              <w:rPr>
                <w:sz w:val="20"/>
                <w:szCs w:val="20"/>
              </w:rPr>
              <w:t>(Mar-08)</w:t>
            </w:r>
          </w:p>
        </w:tc>
      </w:tr>
      <w:tr w:rsidR="0044751E" w:rsidRPr="00A561E1">
        <w:trPr>
          <w:jc w:val="center"/>
        </w:trPr>
        <w:tc>
          <w:tcPr>
            <w:tcW w:w="3311" w:type="dxa"/>
          </w:tcPr>
          <w:p w:rsidR="0044751E" w:rsidRPr="00A561E1" w:rsidRDefault="0044751E" w:rsidP="00C53511">
            <w:pPr>
              <w:keepNext/>
              <w:jc w:val="left"/>
              <w:rPr>
                <w:sz w:val="20"/>
                <w:szCs w:val="20"/>
              </w:rPr>
            </w:pPr>
            <w:smartTag w:uri="urn:schemas-microsoft-com:office:smarttags" w:element="City">
              <w:r w:rsidRPr="00A561E1">
                <w:rPr>
                  <w:sz w:val="20"/>
                  <w:szCs w:val="20"/>
                </w:rPr>
                <w:t>San Marcos</w:t>
              </w:r>
            </w:smartTag>
            <w:r w:rsidRPr="00A561E1">
              <w:rPr>
                <w:sz w:val="20"/>
                <w:szCs w:val="20"/>
              </w:rPr>
              <w:t xml:space="preserve"> </w:t>
            </w:r>
            <w:smartTag w:uri="urn:schemas-microsoft-com:office:smarttags" w:element="place">
              <w:r w:rsidRPr="00A561E1">
                <w:rPr>
                  <w:sz w:val="20"/>
                  <w:szCs w:val="20"/>
                </w:rPr>
                <w:t>Loop</w:t>
              </w:r>
            </w:smartTag>
          </w:p>
        </w:tc>
        <w:tc>
          <w:tcPr>
            <w:tcW w:w="1440" w:type="dxa"/>
          </w:tcPr>
          <w:p w:rsidR="0044751E" w:rsidRPr="00A561E1" w:rsidRDefault="0044751E" w:rsidP="00C53511">
            <w:pPr>
              <w:keepNext/>
              <w:jc w:val="right"/>
              <w:rPr>
                <w:sz w:val="20"/>
                <w:szCs w:val="20"/>
              </w:rPr>
            </w:pPr>
            <w:smartTag w:uri="urn:schemas-microsoft-com:office:smarttags" w:element="date">
              <w:smartTagPr>
                <w:attr w:name="Month" w:val="12"/>
                <w:attr w:name="Day" w:val="9"/>
                <w:attr w:name="Year" w:val="2004"/>
              </w:smartTagPr>
              <w:r w:rsidRPr="00A561E1">
                <w:rPr>
                  <w:sz w:val="20"/>
                  <w:szCs w:val="20"/>
                </w:rPr>
                <w:t>09-Dec-04</w:t>
              </w:r>
            </w:smartTag>
          </w:p>
        </w:tc>
        <w:tc>
          <w:tcPr>
            <w:tcW w:w="1440" w:type="dxa"/>
          </w:tcPr>
          <w:p w:rsidR="0044751E" w:rsidRPr="00A561E1" w:rsidRDefault="0044751E" w:rsidP="00C53511">
            <w:pPr>
              <w:keepNext/>
              <w:jc w:val="right"/>
              <w:rPr>
                <w:sz w:val="20"/>
                <w:szCs w:val="20"/>
              </w:rPr>
            </w:pPr>
            <w:r w:rsidRPr="00A561E1">
              <w:rPr>
                <w:sz w:val="20"/>
                <w:szCs w:val="20"/>
              </w:rPr>
              <w:t>$</w:t>
            </w:r>
            <w:r w:rsidR="00BA61F9" w:rsidRPr="00A561E1">
              <w:rPr>
                <w:sz w:val="20"/>
                <w:szCs w:val="20"/>
              </w:rPr>
              <w:t>2</w:t>
            </w:r>
            <w:r w:rsidR="00CC19B4">
              <w:rPr>
                <w:sz w:val="20"/>
                <w:szCs w:val="20"/>
              </w:rPr>
              <w:t>6.0</w:t>
            </w:r>
          </w:p>
        </w:tc>
        <w:tc>
          <w:tcPr>
            <w:tcW w:w="1440" w:type="dxa"/>
          </w:tcPr>
          <w:p w:rsidR="0044751E" w:rsidRPr="00A561E1" w:rsidRDefault="002E66EA" w:rsidP="00C53511">
            <w:pPr>
              <w:keepNext/>
              <w:jc w:val="right"/>
              <w:rPr>
                <w:sz w:val="20"/>
                <w:szCs w:val="20"/>
              </w:rPr>
            </w:pPr>
            <w:r w:rsidRPr="00A561E1">
              <w:rPr>
                <w:sz w:val="20"/>
                <w:szCs w:val="20"/>
              </w:rPr>
              <w:t>98</w:t>
            </w:r>
            <w:r w:rsidR="0044751E" w:rsidRPr="00A561E1">
              <w:rPr>
                <w:sz w:val="20"/>
                <w:szCs w:val="20"/>
              </w:rPr>
              <w:t>%</w:t>
            </w:r>
          </w:p>
        </w:tc>
        <w:tc>
          <w:tcPr>
            <w:tcW w:w="1440" w:type="dxa"/>
          </w:tcPr>
          <w:p w:rsidR="0044751E" w:rsidRPr="00A561E1" w:rsidRDefault="001D485A" w:rsidP="00C53511">
            <w:pPr>
              <w:keepNext/>
              <w:jc w:val="right"/>
              <w:rPr>
                <w:sz w:val="20"/>
                <w:szCs w:val="20"/>
              </w:rPr>
            </w:pPr>
            <w:r w:rsidRPr="00A561E1">
              <w:rPr>
                <w:sz w:val="20"/>
                <w:szCs w:val="20"/>
              </w:rPr>
              <w:t>Nov</w:t>
            </w:r>
            <w:r w:rsidR="0044751E" w:rsidRPr="00A561E1">
              <w:rPr>
                <w:sz w:val="20"/>
                <w:szCs w:val="20"/>
              </w:rPr>
              <w:t>-07</w:t>
            </w:r>
          </w:p>
        </w:tc>
      </w:tr>
      <w:tr w:rsidR="0044751E" w:rsidRPr="00A561E1">
        <w:trPr>
          <w:jc w:val="center"/>
        </w:trPr>
        <w:tc>
          <w:tcPr>
            <w:tcW w:w="3311" w:type="dxa"/>
          </w:tcPr>
          <w:p w:rsidR="0044751E" w:rsidRPr="00A561E1" w:rsidRDefault="0044751E" w:rsidP="00C53511">
            <w:pPr>
              <w:keepNext/>
              <w:jc w:val="left"/>
              <w:rPr>
                <w:sz w:val="20"/>
                <w:szCs w:val="20"/>
              </w:rPr>
            </w:pPr>
            <w:r w:rsidRPr="00A561E1">
              <w:rPr>
                <w:sz w:val="20"/>
                <w:szCs w:val="20"/>
              </w:rPr>
              <w:t>Vehicle Maintenance Facility</w:t>
            </w:r>
          </w:p>
        </w:tc>
        <w:tc>
          <w:tcPr>
            <w:tcW w:w="1440" w:type="dxa"/>
          </w:tcPr>
          <w:p w:rsidR="0044751E" w:rsidRPr="00A561E1" w:rsidRDefault="0044751E" w:rsidP="00C53511">
            <w:pPr>
              <w:keepNext/>
              <w:jc w:val="right"/>
              <w:rPr>
                <w:sz w:val="20"/>
                <w:szCs w:val="20"/>
              </w:rPr>
            </w:pPr>
            <w:smartTag w:uri="urn:schemas-microsoft-com:office:smarttags" w:element="date">
              <w:smartTagPr>
                <w:attr w:name="Month" w:val="9"/>
                <w:attr w:name="Day" w:val="30"/>
                <w:attr w:name="Year" w:val="2005"/>
              </w:smartTagPr>
              <w:r w:rsidRPr="00A561E1">
                <w:rPr>
                  <w:sz w:val="20"/>
                  <w:szCs w:val="20"/>
                </w:rPr>
                <w:t>30-Sep-05</w:t>
              </w:r>
            </w:smartTag>
          </w:p>
        </w:tc>
        <w:tc>
          <w:tcPr>
            <w:tcW w:w="1440" w:type="dxa"/>
          </w:tcPr>
          <w:p w:rsidR="0044751E" w:rsidRPr="00A561E1" w:rsidRDefault="00BA61F9" w:rsidP="00C53511">
            <w:pPr>
              <w:keepNext/>
              <w:jc w:val="right"/>
              <w:rPr>
                <w:sz w:val="20"/>
                <w:szCs w:val="20"/>
              </w:rPr>
            </w:pPr>
            <w:r w:rsidRPr="00A561E1">
              <w:rPr>
                <w:sz w:val="20"/>
                <w:szCs w:val="20"/>
              </w:rPr>
              <w:t>$24.5</w:t>
            </w:r>
          </w:p>
        </w:tc>
        <w:tc>
          <w:tcPr>
            <w:tcW w:w="1440" w:type="dxa"/>
          </w:tcPr>
          <w:p w:rsidR="0044751E" w:rsidRPr="00A561E1" w:rsidRDefault="001D485A" w:rsidP="00C53511">
            <w:pPr>
              <w:keepNext/>
              <w:jc w:val="right"/>
              <w:rPr>
                <w:sz w:val="20"/>
                <w:szCs w:val="20"/>
              </w:rPr>
            </w:pPr>
            <w:r w:rsidRPr="00A561E1">
              <w:rPr>
                <w:sz w:val="20"/>
                <w:szCs w:val="20"/>
              </w:rPr>
              <w:t>100</w:t>
            </w:r>
            <w:r w:rsidR="0044751E" w:rsidRPr="00A561E1">
              <w:rPr>
                <w:sz w:val="20"/>
                <w:szCs w:val="20"/>
              </w:rPr>
              <w:t>%</w:t>
            </w:r>
          </w:p>
        </w:tc>
        <w:tc>
          <w:tcPr>
            <w:tcW w:w="1440" w:type="dxa"/>
          </w:tcPr>
          <w:p w:rsidR="0044751E" w:rsidRPr="00A561E1" w:rsidRDefault="0044751E" w:rsidP="00C53511">
            <w:pPr>
              <w:keepNext/>
              <w:jc w:val="right"/>
              <w:rPr>
                <w:sz w:val="20"/>
                <w:szCs w:val="20"/>
              </w:rPr>
            </w:pPr>
            <w:r w:rsidRPr="00A561E1">
              <w:rPr>
                <w:sz w:val="20"/>
                <w:szCs w:val="20"/>
              </w:rPr>
              <w:t>Sep-07</w:t>
            </w:r>
          </w:p>
        </w:tc>
      </w:tr>
      <w:tr w:rsidR="0044751E" w:rsidRPr="00A561E1">
        <w:trPr>
          <w:jc w:val="center"/>
        </w:trPr>
        <w:tc>
          <w:tcPr>
            <w:tcW w:w="3311" w:type="dxa"/>
          </w:tcPr>
          <w:p w:rsidR="0044751E" w:rsidRPr="00A561E1" w:rsidRDefault="00BA3CAB" w:rsidP="00C53511">
            <w:pPr>
              <w:keepNext/>
              <w:jc w:val="left"/>
              <w:rPr>
                <w:sz w:val="20"/>
                <w:szCs w:val="20"/>
              </w:rPr>
            </w:pPr>
            <w:r w:rsidRPr="00A561E1">
              <w:rPr>
                <w:sz w:val="20"/>
                <w:szCs w:val="20"/>
              </w:rPr>
              <w:t xml:space="preserve">DMU </w:t>
            </w:r>
            <w:r w:rsidR="0044751E" w:rsidRPr="00A561E1">
              <w:rPr>
                <w:sz w:val="20"/>
                <w:szCs w:val="20"/>
              </w:rPr>
              <w:t>Vehicle Procurement</w:t>
            </w:r>
          </w:p>
        </w:tc>
        <w:tc>
          <w:tcPr>
            <w:tcW w:w="1440" w:type="dxa"/>
          </w:tcPr>
          <w:p w:rsidR="0044751E" w:rsidRPr="00A561E1" w:rsidRDefault="0044751E" w:rsidP="00C53511">
            <w:pPr>
              <w:keepNext/>
              <w:jc w:val="right"/>
              <w:rPr>
                <w:sz w:val="20"/>
                <w:szCs w:val="20"/>
              </w:rPr>
            </w:pPr>
            <w:smartTag w:uri="urn:schemas-microsoft-com:office:smarttags" w:element="date">
              <w:smartTagPr>
                <w:attr w:name="Month" w:val="3"/>
                <w:attr w:name="Day" w:val="5"/>
                <w:attr w:name="Year" w:val="2004"/>
              </w:smartTagPr>
              <w:r w:rsidRPr="00A561E1">
                <w:rPr>
                  <w:sz w:val="20"/>
                  <w:szCs w:val="20"/>
                </w:rPr>
                <w:t>05-Mar-04</w:t>
              </w:r>
            </w:smartTag>
          </w:p>
        </w:tc>
        <w:tc>
          <w:tcPr>
            <w:tcW w:w="1440" w:type="dxa"/>
          </w:tcPr>
          <w:p w:rsidR="0044751E" w:rsidRPr="00A561E1" w:rsidRDefault="0044751E" w:rsidP="00C53511">
            <w:pPr>
              <w:keepNext/>
              <w:jc w:val="right"/>
              <w:rPr>
                <w:sz w:val="20"/>
                <w:szCs w:val="20"/>
              </w:rPr>
            </w:pPr>
            <w:r w:rsidRPr="00A561E1">
              <w:rPr>
                <w:sz w:val="20"/>
                <w:szCs w:val="20"/>
              </w:rPr>
              <w:t>$52.2</w:t>
            </w:r>
          </w:p>
        </w:tc>
        <w:tc>
          <w:tcPr>
            <w:tcW w:w="1440" w:type="dxa"/>
          </w:tcPr>
          <w:p w:rsidR="0044751E" w:rsidRPr="00A561E1" w:rsidRDefault="0044751E" w:rsidP="00C53511">
            <w:pPr>
              <w:keepNext/>
              <w:jc w:val="right"/>
              <w:rPr>
                <w:sz w:val="20"/>
                <w:szCs w:val="20"/>
              </w:rPr>
            </w:pPr>
            <w:r w:rsidRPr="00A561E1">
              <w:rPr>
                <w:sz w:val="20"/>
                <w:szCs w:val="20"/>
              </w:rPr>
              <w:t>9</w:t>
            </w:r>
            <w:r w:rsidR="00332F56" w:rsidRPr="00A561E1">
              <w:rPr>
                <w:sz w:val="20"/>
                <w:szCs w:val="20"/>
              </w:rPr>
              <w:t>9</w:t>
            </w:r>
            <w:r w:rsidRPr="00A561E1">
              <w:rPr>
                <w:sz w:val="20"/>
                <w:szCs w:val="20"/>
              </w:rPr>
              <w:t>%</w:t>
            </w:r>
          </w:p>
        </w:tc>
        <w:tc>
          <w:tcPr>
            <w:tcW w:w="1440" w:type="dxa"/>
          </w:tcPr>
          <w:p w:rsidR="0044751E" w:rsidRPr="00A561E1" w:rsidRDefault="0044751E" w:rsidP="00C53511">
            <w:pPr>
              <w:keepNext/>
              <w:jc w:val="right"/>
              <w:rPr>
                <w:sz w:val="20"/>
                <w:szCs w:val="20"/>
              </w:rPr>
            </w:pPr>
            <w:r w:rsidRPr="00A561E1">
              <w:rPr>
                <w:sz w:val="20"/>
                <w:szCs w:val="20"/>
              </w:rPr>
              <w:t>(</w:t>
            </w:r>
            <w:r w:rsidR="00332F56" w:rsidRPr="00A561E1">
              <w:rPr>
                <w:sz w:val="20"/>
                <w:szCs w:val="20"/>
              </w:rPr>
              <w:t>Feb</w:t>
            </w:r>
            <w:r w:rsidRPr="00A561E1">
              <w:rPr>
                <w:sz w:val="20"/>
                <w:szCs w:val="20"/>
              </w:rPr>
              <w:t>-0</w:t>
            </w:r>
            <w:r w:rsidR="00332F56" w:rsidRPr="00A561E1">
              <w:rPr>
                <w:sz w:val="20"/>
                <w:szCs w:val="20"/>
              </w:rPr>
              <w:t>8</w:t>
            </w:r>
            <w:r w:rsidRPr="00A561E1">
              <w:rPr>
                <w:sz w:val="20"/>
                <w:szCs w:val="20"/>
              </w:rPr>
              <w:t>)</w:t>
            </w:r>
          </w:p>
        </w:tc>
      </w:tr>
      <w:tr w:rsidR="0044751E" w:rsidRPr="00A561E1">
        <w:trPr>
          <w:jc w:val="center"/>
        </w:trPr>
        <w:tc>
          <w:tcPr>
            <w:tcW w:w="3311" w:type="dxa"/>
          </w:tcPr>
          <w:p w:rsidR="0044751E" w:rsidRPr="00A561E1" w:rsidRDefault="0044751E" w:rsidP="00C53511">
            <w:pPr>
              <w:keepNext/>
              <w:jc w:val="left"/>
              <w:rPr>
                <w:sz w:val="20"/>
                <w:szCs w:val="20"/>
              </w:rPr>
            </w:pPr>
            <w:r w:rsidRPr="00A561E1">
              <w:rPr>
                <w:sz w:val="20"/>
                <w:szCs w:val="20"/>
              </w:rPr>
              <w:t>Construction Management</w:t>
            </w:r>
            <w:r w:rsidRPr="00A561E1">
              <w:rPr>
                <w:sz w:val="20"/>
                <w:szCs w:val="20"/>
                <w:vertAlign w:val="superscript"/>
              </w:rPr>
              <w:t>1</w:t>
            </w:r>
          </w:p>
        </w:tc>
        <w:tc>
          <w:tcPr>
            <w:tcW w:w="1440" w:type="dxa"/>
          </w:tcPr>
          <w:p w:rsidR="0044751E" w:rsidRPr="00A561E1" w:rsidRDefault="0044751E" w:rsidP="00C53511">
            <w:pPr>
              <w:keepNext/>
              <w:jc w:val="right"/>
              <w:rPr>
                <w:sz w:val="20"/>
                <w:szCs w:val="20"/>
              </w:rPr>
            </w:pPr>
            <w:r w:rsidRPr="00A561E1">
              <w:rPr>
                <w:sz w:val="20"/>
                <w:szCs w:val="20"/>
              </w:rPr>
              <w:t>May-02</w:t>
            </w:r>
          </w:p>
        </w:tc>
        <w:tc>
          <w:tcPr>
            <w:tcW w:w="1440" w:type="dxa"/>
          </w:tcPr>
          <w:p w:rsidR="0044751E" w:rsidRPr="00A561E1" w:rsidRDefault="00CC19B4" w:rsidP="00C53511">
            <w:pPr>
              <w:keepNext/>
              <w:jc w:val="right"/>
              <w:rPr>
                <w:sz w:val="20"/>
                <w:szCs w:val="20"/>
              </w:rPr>
            </w:pPr>
            <w:r>
              <w:rPr>
                <w:sz w:val="20"/>
                <w:szCs w:val="20"/>
              </w:rPr>
              <w:t>$35.9</w:t>
            </w:r>
          </w:p>
        </w:tc>
        <w:tc>
          <w:tcPr>
            <w:tcW w:w="1440" w:type="dxa"/>
          </w:tcPr>
          <w:p w:rsidR="0044751E" w:rsidRPr="00A561E1" w:rsidRDefault="00332F56" w:rsidP="00C53511">
            <w:pPr>
              <w:keepNext/>
              <w:jc w:val="right"/>
              <w:rPr>
                <w:sz w:val="20"/>
                <w:szCs w:val="20"/>
              </w:rPr>
            </w:pPr>
            <w:r w:rsidRPr="00A561E1">
              <w:rPr>
                <w:sz w:val="20"/>
                <w:szCs w:val="20"/>
              </w:rPr>
              <w:t>86</w:t>
            </w:r>
            <w:r w:rsidR="0044751E" w:rsidRPr="00A561E1">
              <w:rPr>
                <w:sz w:val="20"/>
                <w:szCs w:val="20"/>
              </w:rPr>
              <w:t>%</w:t>
            </w:r>
          </w:p>
        </w:tc>
        <w:tc>
          <w:tcPr>
            <w:tcW w:w="1440" w:type="dxa"/>
          </w:tcPr>
          <w:p w:rsidR="0044751E" w:rsidRPr="00A561E1" w:rsidRDefault="0044751E" w:rsidP="00C53511">
            <w:pPr>
              <w:keepNext/>
              <w:jc w:val="right"/>
              <w:rPr>
                <w:sz w:val="20"/>
                <w:szCs w:val="20"/>
              </w:rPr>
            </w:pPr>
            <w:r w:rsidRPr="00A561E1">
              <w:rPr>
                <w:sz w:val="20"/>
                <w:szCs w:val="20"/>
              </w:rPr>
              <w:t>(Dec-08)</w:t>
            </w:r>
          </w:p>
        </w:tc>
      </w:tr>
      <w:tr w:rsidR="0044751E" w:rsidRPr="00A561E1">
        <w:trPr>
          <w:jc w:val="center"/>
        </w:trPr>
        <w:tc>
          <w:tcPr>
            <w:tcW w:w="3311" w:type="dxa"/>
          </w:tcPr>
          <w:p w:rsidR="0044751E" w:rsidRPr="00A561E1" w:rsidRDefault="0044751E" w:rsidP="00C53511">
            <w:pPr>
              <w:keepNext/>
              <w:jc w:val="left"/>
              <w:rPr>
                <w:sz w:val="20"/>
                <w:szCs w:val="20"/>
              </w:rPr>
            </w:pPr>
            <w:r w:rsidRPr="00A561E1">
              <w:rPr>
                <w:sz w:val="20"/>
                <w:szCs w:val="20"/>
              </w:rPr>
              <w:t>Design Services During Construction</w:t>
            </w:r>
            <w:r w:rsidRPr="00A561E1">
              <w:rPr>
                <w:sz w:val="20"/>
                <w:szCs w:val="20"/>
                <w:vertAlign w:val="superscript"/>
              </w:rPr>
              <w:t>2</w:t>
            </w:r>
          </w:p>
        </w:tc>
        <w:tc>
          <w:tcPr>
            <w:tcW w:w="1440" w:type="dxa"/>
          </w:tcPr>
          <w:p w:rsidR="0044751E" w:rsidRPr="00A561E1" w:rsidRDefault="0044751E" w:rsidP="00C53511">
            <w:pPr>
              <w:keepNext/>
              <w:jc w:val="right"/>
              <w:rPr>
                <w:sz w:val="20"/>
                <w:szCs w:val="20"/>
              </w:rPr>
            </w:pPr>
            <w:r w:rsidRPr="00A561E1">
              <w:rPr>
                <w:sz w:val="20"/>
                <w:szCs w:val="20"/>
              </w:rPr>
              <w:t>Nov-04</w:t>
            </w:r>
          </w:p>
        </w:tc>
        <w:tc>
          <w:tcPr>
            <w:tcW w:w="1440" w:type="dxa"/>
          </w:tcPr>
          <w:p w:rsidR="0044751E" w:rsidRPr="00A561E1" w:rsidRDefault="0044751E" w:rsidP="00C53511">
            <w:pPr>
              <w:keepNext/>
              <w:jc w:val="right"/>
              <w:rPr>
                <w:sz w:val="20"/>
                <w:szCs w:val="20"/>
              </w:rPr>
            </w:pPr>
            <w:r w:rsidRPr="00A561E1">
              <w:rPr>
                <w:sz w:val="20"/>
                <w:szCs w:val="20"/>
              </w:rPr>
              <w:t>$14.7</w:t>
            </w:r>
          </w:p>
        </w:tc>
        <w:tc>
          <w:tcPr>
            <w:tcW w:w="1440" w:type="dxa"/>
          </w:tcPr>
          <w:p w:rsidR="0044751E" w:rsidRPr="00A561E1" w:rsidRDefault="008A3BDD" w:rsidP="00C53511">
            <w:pPr>
              <w:keepNext/>
              <w:jc w:val="right"/>
              <w:rPr>
                <w:sz w:val="20"/>
                <w:szCs w:val="20"/>
              </w:rPr>
            </w:pPr>
            <w:r w:rsidRPr="00A561E1">
              <w:rPr>
                <w:sz w:val="20"/>
                <w:szCs w:val="20"/>
              </w:rPr>
              <w:t>89</w:t>
            </w:r>
            <w:r w:rsidR="0044751E" w:rsidRPr="00A561E1">
              <w:rPr>
                <w:sz w:val="20"/>
                <w:szCs w:val="20"/>
              </w:rPr>
              <w:t>%</w:t>
            </w:r>
          </w:p>
        </w:tc>
        <w:tc>
          <w:tcPr>
            <w:tcW w:w="1440" w:type="dxa"/>
          </w:tcPr>
          <w:p w:rsidR="0044751E" w:rsidRPr="00A561E1" w:rsidRDefault="0044751E" w:rsidP="00C53511">
            <w:pPr>
              <w:keepNext/>
              <w:jc w:val="right"/>
              <w:rPr>
                <w:sz w:val="20"/>
                <w:szCs w:val="20"/>
              </w:rPr>
            </w:pPr>
            <w:r w:rsidRPr="00A561E1">
              <w:rPr>
                <w:sz w:val="20"/>
                <w:szCs w:val="20"/>
              </w:rPr>
              <w:t>(</w:t>
            </w:r>
            <w:r w:rsidR="00D33237" w:rsidRPr="00A561E1">
              <w:rPr>
                <w:sz w:val="20"/>
                <w:szCs w:val="20"/>
              </w:rPr>
              <w:t>Feb</w:t>
            </w:r>
            <w:r w:rsidRPr="00A561E1">
              <w:rPr>
                <w:sz w:val="20"/>
                <w:szCs w:val="20"/>
              </w:rPr>
              <w:t>-08)</w:t>
            </w:r>
          </w:p>
        </w:tc>
      </w:tr>
    </w:tbl>
    <w:p w:rsidR="0044751E" w:rsidRPr="00A561E1" w:rsidRDefault="0044751E" w:rsidP="00C53511">
      <w:pPr>
        <w:keepNext/>
        <w:ind w:left="360"/>
        <w:rPr>
          <w:sz w:val="20"/>
          <w:szCs w:val="20"/>
        </w:rPr>
      </w:pPr>
      <w:r w:rsidRPr="00A561E1">
        <w:rPr>
          <w:sz w:val="20"/>
          <w:szCs w:val="20"/>
          <w:vertAlign w:val="superscript"/>
        </w:rPr>
        <w:t>1</w:t>
      </w:r>
      <w:r w:rsidRPr="00A561E1">
        <w:rPr>
          <w:sz w:val="20"/>
          <w:szCs w:val="20"/>
        </w:rPr>
        <w:t>The completion date of the Mainline and Stations Contract is based on non-revenue service related work extending to March 2008.</w:t>
      </w:r>
    </w:p>
    <w:p w:rsidR="0044751E" w:rsidRPr="00A561E1" w:rsidRDefault="0044751E" w:rsidP="00C53511">
      <w:pPr>
        <w:keepNext/>
        <w:ind w:left="360"/>
        <w:rPr>
          <w:sz w:val="20"/>
          <w:szCs w:val="20"/>
        </w:rPr>
        <w:sectPr w:rsidR="0044751E" w:rsidRPr="00A561E1">
          <w:footerReference w:type="default" r:id="rId17"/>
          <w:pgSz w:w="12240" w:h="15840" w:code="1"/>
          <w:pgMar w:top="1440" w:right="1440" w:bottom="1728" w:left="1440" w:header="720" w:footer="720" w:gutter="0"/>
          <w:pgNumType w:start="1"/>
          <w:cols w:space="720"/>
          <w:docGrid w:linePitch="360"/>
        </w:sectPr>
      </w:pPr>
      <w:r w:rsidRPr="00A561E1">
        <w:rPr>
          <w:sz w:val="20"/>
          <w:szCs w:val="20"/>
          <w:vertAlign w:val="superscript"/>
        </w:rPr>
        <w:t>2</w:t>
      </w:r>
      <w:r w:rsidRPr="00A561E1">
        <w:rPr>
          <w:sz w:val="20"/>
          <w:szCs w:val="20"/>
        </w:rPr>
        <w:t xml:space="preserve">The completion date of the </w:t>
      </w:r>
      <w:r w:rsidR="00303963" w:rsidRPr="00A561E1">
        <w:rPr>
          <w:sz w:val="20"/>
          <w:szCs w:val="20"/>
        </w:rPr>
        <w:t>CM</w:t>
      </w:r>
      <w:r w:rsidRPr="00A561E1">
        <w:rPr>
          <w:sz w:val="20"/>
          <w:szCs w:val="20"/>
        </w:rPr>
        <w:t xml:space="preserve"> Contract is based on the time anticipated it will take for closeout of all construction contracts.</w:t>
      </w:r>
    </w:p>
    <w:p w:rsidR="0044751E" w:rsidRPr="00A561E1" w:rsidRDefault="0044751E">
      <w:pPr>
        <w:pStyle w:val="Heading2"/>
      </w:pPr>
      <w:bookmarkStart w:id="52" w:name="_Toc186615022"/>
      <w:r w:rsidRPr="00A561E1">
        <w:t>REVISED BUDGET AND SCHEDULE ASSESSMENT</w:t>
      </w:r>
      <w:bookmarkEnd w:id="52"/>
    </w:p>
    <w:p w:rsidR="0044751E" w:rsidRPr="00A561E1" w:rsidRDefault="0044751E">
      <w:pPr>
        <w:pStyle w:val="Heading3"/>
      </w:pPr>
      <w:bookmarkStart w:id="53" w:name="_Toc186615023"/>
      <w:r w:rsidRPr="00A561E1">
        <w:t>FFGA Budget</w:t>
      </w:r>
      <w:bookmarkEnd w:id="53"/>
    </w:p>
    <w:p w:rsidR="00246769" w:rsidRPr="00A561E1" w:rsidRDefault="00246769" w:rsidP="00246769">
      <w:r w:rsidRPr="00A561E1">
        <w:t xml:space="preserve">The original FFGA budget for the Project was $351.5M.  The revenue operations date was </w:t>
      </w:r>
      <w:smartTag w:uri="urn:schemas-microsoft-com:office:smarttags" w:element="date">
        <w:smartTagPr>
          <w:attr w:name="Month" w:val="12"/>
          <w:attr w:name="Day" w:val="31"/>
          <w:attr w:name="Year" w:val="2005"/>
        </w:smartTagPr>
        <w:r w:rsidRPr="00A561E1">
          <w:t>December 31, 2005</w:t>
        </w:r>
      </w:smartTag>
      <w:r w:rsidRPr="00A561E1">
        <w:t>.  Between the signing of the FFGA in February 2003 and December 2007, several significant events occurred that resulted in an increase to the project budget of $132.6M</w:t>
      </w:r>
      <w:r w:rsidR="00D244FC">
        <w:t xml:space="preserve"> including contingency </w:t>
      </w:r>
      <w:r w:rsidRPr="00A561E1">
        <w:t xml:space="preserve">and an extension of the project schedule of two and one-half years.  </w:t>
      </w:r>
    </w:p>
    <w:p w:rsidR="00246769" w:rsidRPr="00A561E1" w:rsidRDefault="00246769" w:rsidP="00246769"/>
    <w:p w:rsidR="00246769" w:rsidRPr="00A561E1" w:rsidRDefault="00246769" w:rsidP="00246769">
      <w:r w:rsidRPr="00A561E1">
        <w:t xml:space="preserve">The new project budget is $484.1M and the new revenue operations date is </w:t>
      </w:r>
      <w:smartTag w:uri="urn:schemas-microsoft-com:office:smarttags" w:element="date">
        <w:smartTagPr>
          <w:attr w:name="Month" w:val="7"/>
          <w:attr w:name="Day" w:val="1"/>
          <w:attr w:name="Year" w:val="2008"/>
        </w:smartTagPr>
        <w:r w:rsidRPr="00A561E1">
          <w:t>July 1, 2008</w:t>
        </w:r>
      </w:smartTag>
      <w:r w:rsidRPr="00A561E1">
        <w:t>.  FTA Section 5309 New Starts funds remain unchanged at $152.1M.  NCTD is utilizing additional local and state funds to cover the $132.6M increase.</w:t>
      </w:r>
    </w:p>
    <w:p w:rsidR="00246769" w:rsidRPr="00A561E1" w:rsidRDefault="00246769" w:rsidP="00246769"/>
    <w:p w:rsidR="00246769" w:rsidRPr="00A561E1" w:rsidRDefault="00246769" w:rsidP="00246769">
      <w:r w:rsidRPr="00A561E1">
        <w:t xml:space="preserve">The events that resulted in the change to project budget and schedule are fully described below:  </w:t>
      </w:r>
    </w:p>
    <w:p w:rsidR="00246769" w:rsidRPr="00A561E1" w:rsidRDefault="00246769" w:rsidP="00246769"/>
    <w:p w:rsidR="00781799" w:rsidRPr="00A561E1" w:rsidRDefault="00775B09" w:rsidP="00781799">
      <w:pPr>
        <w:keepNext/>
        <w:numPr>
          <w:ilvl w:val="0"/>
          <w:numId w:val="20"/>
        </w:numPr>
      </w:pPr>
      <w:r w:rsidRPr="00A561E1">
        <w:t>Significant Design Issues</w:t>
      </w:r>
    </w:p>
    <w:p w:rsidR="00775B09" w:rsidRPr="00A561E1" w:rsidRDefault="00775B09" w:rsidP="00CD3528">
      <w:pPr>
        <w:keepNext/>
        <w:ind w:left="1800"/>
        <w:rPr>
          <w:i/>
        </w:rPr>
      </w:pPr>
      <w:r w:rsidRPr="00A561E1">
        <w:rPr>
          <w:i/>
        </w:rPr>
        <w:t>Approximate Impact</w:t>
      </w:r>
      <w:r w:rsidR="00D244FC">
        <w:rPr>
          <w:i/>
        </w:rPr>
        <w:t>:  $17.3M</w:t>
      </w:r>
    </w:p>
    <w:p w:rsidR="00775B09" w:rsidRPr="00A561E1" w:rsidRDefault="00775B09" w:rsidP="00CD3528">
      <w:pPr>
        <w:keepNext/>
        <w:ind w:left="1800"/>
        <w:rPr>
          <w:i/>
        </w:rPr>
      </w:pPr>
      <w:r w:rsidRPr="00A561E1">
        <w:rPr>
          <w:i/>
        </w:rPr>
        <w:t>Period</w:t>
      </w:r>
      <w:r w:rsidR="00D244FC">
        <w:rPr>
          <w:i/>
        </w:rPr>
        <w:t xml:space="preserve">:  </w:t>
      </w:r>
      <w:r w:rsidRPr="00A561E1">
        <w:rPr>
          <w:i/>
        </w:rPr>
        <w:t>February 2004</w:t>
      </w:r>
      <w:r w:rsidR="00C669D0" w:rsidRPr="00A561E1">
        <w:rPr>
          <w:i/>
        </w:rPr>
        <w:t xml:space="preserve"> through construction</w:t>
      </w:r>
    </w:p>
    <w:p w:rsidR="00246769" w:rsidRPr="00A561E1" w:rsidRDefault="00F03D89" w:rsidP="00CD3528">
      <w:pPr>
        <w:keepNext/>
        <w:ind w:left="1800"/>
        <w:rPr>
          <w:i/>
        </w:rPr>
      </w:pPr>
      <w:r w:rsidRPr="00A561E1">
        <w:rPr>
          <w:i/>
        </w:rPr>
        <w:t>Impacted FTA Codes</w:t>
      </w:r>
      <w:r w:rsidR="00D244FC">
        <w:rPr>
          <w:i/>
        </w:rPr>
        <w:t xml:space="preserve">:  </w:t>
      </w:r>
      <w:r w:rsidRPr="00A561E1">
        <w:rPr>
          <w:i/>
        </w:rPr>
        <w:t>13.71.11, 13.71.04, 13.79.00</w:t>
      </w:r>
      <w:r w:rsidR="00AB66F3" w:rsidRPr="00A561E1">
        <w:rPr>
          <w:i/>
        </w:rPr>
        <w:t>, 132-01, 133-01, 134-01</w:t>
      </w:r>
    </w:p>
    <w:p w:rsidR="00F03D89" w:rsidRPr="00A561E1" w:rsidRDefault="00F03D89" w:rsidP="00246769">
      <w:pPr>
        <w:keepNext/>
        <w:ind w:left="360"/>
      </w:pPr>
    </w:p>
    <w:p w:rsidR="00246769" w:rsidRPr="00A561E1" w:rsidRDefault="00130D43" w:rsidP="00130D43">
      <w:pPr>
        <w:pStyle w:val="BodySingle"/>
        <w:ind w:left="1080"/>
      </w:pPr>
      <w:r w:rsidRPr="00A561E1">
        <w:t>The bid documents could have been more complete and better coordinated.  A large number of addenda were issued during the bid period</w:t>
      </w:r>
      <w:r w:rsidR="00775B09" w:rsidRPr="00A561E1">
        <w:t xml:space="preserve"> and numerous changes were identified during construction</w:t>
      </w:r>
      <w:r w:rsidRPr="00A561E1">
        <w:t>.  Compounding matters, N</w:t>
      </w:r>
      <w:r w:rsidR="00246769" w:rsidRPr="00A561E1">
        <w:t xml:space="preserve">CTD utilized a unit price bid structure.  As a result of the numerous design changes </w:t>
      </w:r>
      <w:r w:rsidRPr="00A561E1">
        <w:t xml:space="preserve">before and after </w:t>
      </w:r>
      <w:r w:rsidR="00246769" w:rsidRPr="00A561E1">
        <w:t xml:space="preserve">award of the construction contracts, this contracting strategy resulted in significant cost impacts.  The </w:t>
      </w:r>
      <w:r w:rsidRPr="00A561E1">
        <w:t xml:space="preserve">design </w:t>
      </w:r>
      <w:r w:rsidR="00246769" w:rsidRPr="00A561E1">
        <w:t xml:space="preserve">changes resulted in extensive additional costs for the Design Services During Construction </w:t>
      </w:r>
      <w:r w:rsidR="00D244FC">
        <w:t xml:space="preserve">(DSDC) </w:t>
      </w:r>
      <w:r w:rsidR="00246769" w:rsidRPr="00A561E1">
        <w:t>consultant, construction cost increases, and a corresponding increase in the level of effort by NCTD and the CM to manage the contracts.</w:t>
      </w:r>
    </w:p>
    <w:p w:rsidR="00246769" w:rsidRPr="00A561E1" w:rsidRDefault="00246769" w:rsidP="00246769">
      <w:pPr>
        <w:keepNext/>
        <w:ind w:left="360"/>
      </w:pPr>
    </w:p>
    <w:p w:rsidR="00246769" w:rsidRPr="00A561E1" w:rsidRDefault="00246769" w:rsidP="00246769">
      <w:pPr>
        <w:keepNext/>
        <w:numPr>
          <w:ilvl w:val="0"/>
          <w:numId w:val="20"/>
        </w:numPr>
      </w:pPr>
      <w:r w:rsidRPr="00A561E1">
        <w:t>Gr</w:t>
      </w:r>
      <w:r w:rsidR="007F23A5" w:rsidRPr="00A561E1">
        <w:t>antee Technical Capacity Issues</w:t>
      </w:r>
    </w:p>
    <w:p w:rsidR="007F23A5" w:rsidRPr="00A561E1" w:rsidRDefault="007F23A5" w:rsidP="00CD3528">
      <w:pPr>
        <w:keepNext/>
        <w:ind w:left="1440" w:firstLine="360"/>
        <w:rPr>
          <w:i/>
        </w:rPr>
      </w:pPr>
      <w:r w:rsidRPr="00A561E1">
        <w:rPr>
          <w:i/>
        </w:rPr>
        <w:t>Approximate Impact</w:t>
      </w:r>
      <w:r w:rsidR="00D244FC">
        <w:rPr>
          <w:i/>
        </w:rPr>
        <w:t xml:space="preserve">:  </w:t>
      </w:r>
      <w:r w:rsidRPr="00A561E1">
        <w:rPr>
          <w:i/>
        </w:rPr>
        <w:t>$21.8M</w:t>
      </w:r>
    </w:p>
    <w:p w:rsidR="007F23A5" w:rsidRPr="00A561E1" w:rsidRDefault="007F23A5" w:rsidP="00CD3528">
      <w:pPr>
        <w:keepNext/>
        <w:ind w:left="1440" w:firstLine="360"/>
        <w:rPr>
          <w:i/>
        </w:rPr>
      </w:pPr>
      <w:r w:rsidRPr="00A561E1">
        <w:rPr>
          <w:i/>
        </w:rPr>
        <w:t>Period</w:t>
      </w:r>
      <w:r w:rsidR="00D244FC">
        <w:rPr>
          <w:i/>
        </w:rPr>
        <w:t xml:space="preserve">:  </w:t>
      </w:r>
      <w:r w:rsidRPr="00A561E1">
        <w:rPr>
          <w:i/>
        </w:rPr>
        <w:t xml:space="preserve">February 2004 </w:t>
      </w:r>
      <w:r w:rsidR="00EC2E6C" w:rsidRPr="00A561E1">
        <w:rPr>
          <w:i/>
        </w:rPr>
        <w:t xml:space="preserve">to </w:t>
      </w:r>
      <w:r w:rsidRPr="00A561E1">
        <w:rPr>
          <w:i/>
        </w:rPr>
        <w:t>October 2006</w:t>
      </w:r>
    </w:p>
    <w:p w:rsidR="00246769" w:rsidRPr="00A561E1" w:rsidRDefault="00AB66F3" w:rsidP="00CD3528">
      <w:pPr>
        <w:keepNext/>
        <w:ind w:left="1440" w:firstLine="360"/>
        <w:rPr>
          <w:i/>
        </w:rPr>
      </w:pPr>
      <w:r w:rsidRPr="00A561E1">
        <w:rPr>
          <w:i/>
        </w:rPr>
        <w:t>Impacted FTA Codes</w:t>
      </w:r>
      <w:r w:rsidR="00D244FC">
        <w:rPr>
          <w:i/>
        </w:rPr>
        <w:t xml:space="preserve">:  </w:t>
      </w:r>
      <w:r w:rsidR="007F23A5" w:rsidRPr="00A561E1">
        <w:rPr>
          <w:i/>
        </w:rPr>
        <w:t>13.71.04, 13.79.00</w:t>
      </w:r>
    </w:p>
    <w:p w:rsidR="00AB66F3" w:rsidRPr="00A561E1" w:rsidRDefault="00AB66F3" w:rsidP="00246769">
      <w:pPr>
        <w:keepNext/>
        <w:ind w:left="360"/>
      </w:pPr>
    </w:p>
    <w:p w:rsidR="00246769" w:rsidRPr="00A561E1" w:rsidRDefault="00246769" w:rsidP="00246769">
      <w:pPr>
        <w:ind w:left="1080"/>
      </w:pPr>
      <w:r w:rsidRPr="00A561E1">
        <w:t xml:space="preserve">In 2002, the PMOC reported that NCTD demonstrated sufficient technical capability and technical capacity.  However, given </w:t>
      </w:r>
      <w:r w:rsidR="00D244FC">
        <w:t xml:space="preserve">that </w:t>
      </w:r>
      <w:r w:rsidRPr="00A561E1">
        <w:t xml:space="preserve">the issues </w:t>
      </w:r>
      <w:r w:rsidR="00D244FC">
        <w:t xml:space="preserve">described herein </w:t>
      </w:r>
      <w:r w:rsidRPr="00A561E1">
        <w:t>were manifested following this assessment, and the manner in which NCTD executed portions of the project, the PMOC determined additional technical capacity (resources) was needed.  In general, NCTD was technically capable of completing the project as identified in 2002, but not with the problems that evolved following execution of the FFGA.</w:t>
      </w:r>
    </w:p>
    <w:p w:rsidR="00246769" w:rsidRPr="00A561E1" w:rsidRDefault="00246769" w:rsidP="00246769">
      <w:pPr>
        <w:keepNext/>
        <w:ind w:left="360"/>
      </w:pPr>
    </w:p>
    <w:p w:rsidR="00246769" w:rsidRPr="00A561E1" w:rsidRDefault="00246769" w:rsidP="00246769">
      <w:pPr>
        <w:keepNext/>
        <w:numPr>
          <w:ilvl w:val="0"/>
          <w:numId w:val="20"/>
        </w:numPr>
      </w:pPr>
      <w:r w:rsidRPr="00A561E1">
        <w:t>Lean Construction Bidding Market</w:t>
      </w:r>
    </w:p>
    <w:p w:rsidR="00EC2E6C" w:rsidRPr="00A561E1" w:rsidRDefault="00EC2E6C" w:rsidP="00CD3528">
      <w:pPr>
        <w:keepNext/>
        <w:ind w:left="1440" w:firstLine="360"/>
        <w:rPr>
          <w:i/>
        </w:rPr>
      </w:pPr>
      <w:r w:rsidRPr="00A561E1">
        <w:rPr>
          <w:i/>
        </w:rPr>
        <w:t>Approximate Impact</w:t>
      </w:r>
      <w:r w:rsidR="0011716C">
        <w:rPr>
          <w:i/>
        </w:rPr>
        <w:t xml:space="preserve">:  </w:t>
      </w:r>
      <w:r w:rsidRPr="00A561E1">
        <w:rPr>
          <w:i/>
        </w:rPr>
        <w:t>$</w:t>
      </w:r>
      <w:r w:rsidR="00BD18FB">
        <w:rPr>
          <w:i/>
        </w:rPr>
        <w:t>25.2</w:t>
      </w:r>
      <w:r w:rsidRPr="00A561E1">
        <w:rPr>
          <w:i/>
        </w:rPr>
        <w:t xml:space="preserve">M </w:t>
      </w:r>
    </w:p>
    <w:p w:rsidR="00EC2E6C" w:rsidRPr="00A561E1" w:rsidRDefault="0011716C" w:rsidP="00CD3528">
      <w:pPr>
        <w:keepNext/>
        <w:ind w:left="1440" w:firstLine="360"/>
        <w:rPr>
          <w:i/>
        </w:rPr>
      </w:pPr>
      <w:r>
        <w:rPr>
          <w:i/>
        </w:rPr>
        <w:t xml:space="preserve">Period:  </w:t>
      </w:r>
      <w:r w:rsidR="00EC2E6C" w:rsidRPr="00A561E1">
        <w:rPr>
          <w:i/>
        </w:rPr>
        <w:t>February 2004 to September 2005</w:t>
      </w:r>
    </w:p>
    <w:p w:rsidR="00C30CAC" w:rsidRPr="00A561E1" w:rsidRDefault="00C30CAC" w:rsidP="00CD3528">
      <w:pPr>
        <w:keepNext/>
        <w:ind w:left="1440" w:firstLine="360"/>
      </w:pPr>
      <w:r w:rsidRPr="00A561E1">
        <w:rPr>
          <w:i/>
        </w:rPr>
        <w:t>Impa</w:t>
      </w:r>
      <w:r w:rsidR="0011716C">
        <w:rPr>
          <w:i/>
        </w:rPr>
        <w:t xml:space="preserve">cted FTA Codes:  </w:t>
      </w:r>
      <w:r w:rsidR="008B712C" w:rsidRPr="00A561E1">
        <w:rPr>
          <w:i/>
        </w:rPr>
        <w:t>132-01, 133-01</w:t>
      </w:r>
      <w:r w:rsidR="00BD18FB">
        <w:rPr>
          <w:i/>
        </w:rPr>
        <w:t>, 13.43.02</w:t>
      </w:r>
    </w:p>
    <w:p w:rsidR="00246769" w:rsidRPr="00A561E1" w:rsidRDefault="00246769" w:rsidP="00246769">
      <w:pPr>
        <w:keepNext/>
        <w:ind w:left="1080"/>
      </w:pPr>
    </w:p>
    <w:p w:rsidR="00246769" w:rsidRPr="00A561E1" w:rsidRDefault="00246769" w:rsidP="00BD18FB">
      <w:pPr>
        <w:pStyle w:val="BodySingle"/>
        <w:ind w:left="1080"/>
      </w:pPr>
      <w:r w:rsidRPr="00A561E1">
        <w:t xml:space="preserve">At the time of bidding on the three construction contracts, the </w:t>
      </w:r>
      <w:smartTag w:uri="urn:schemas-microsoft-com:office:smarttags" w:element="place">
        <w:smartTag w:uri="urn:schemas-microsoft-com:office:smarttags" w:element="City">
          <w:r w:rsidRPr="00A561E1">
            <w:t>San Diego</w:t>
          </w:r>
        </w:smartTag>
      </w:smartTag>
      <w:r w:rsidRPr="00A561E1">
        <w:t xml:space="preserve"> region was experiencing an exceptionally active construction market.  </w:t>
      </w:r>
      <w:r w:rsidR="00130D43" w:rsidRPr="00A561E1">
        <w:t>Consequently t</w:t>
      </w:r>
      <w:r w:rsidR="00130D43" w:rsidRPr="00A561E1">
        <w:rPr>
          <w:rFonts w:ascii="Times New Roman" w:hAnsi="Times New Roman"/>
          <w:szCs w:val="24"/>
        </w:rPr>
        <w:t xml:space="preserve">here were fewer bidders for the Project than </w:t>
      </w:r>
      <w:r w:rsidR="00CD3528">
        <w:rPr>
          <w:rFonts w:ascii="Times New Roman" w:hAnsi="Times New Roman"/>
          <w:szCs w:val="24"/>
        </w:rPr>
        <w:t xml:space="preserve">anticipated </w:t>
      </w:r>
      <w:r w:rsidR="00130D43" w:rsidRPr="00A561E1">
        <w:rPr>
          <w:rFonts w:ascii="Times New Roman" w:hAnsi="Times New Roman"/>
          <w:szCs w:val="24"/>
        </w:rPr>
        <w:t xml:space="preserve">and pricing for </w:t>
      </w:r>
      <w:r w:rsidR="00130D43" w:rsidRPr="00A561E1">
        <w:t>b</w:t>
      </w:r>
      <w:r w:rsidRPr="00A561E1">
        <w:t>oth labor and materials w</w:t>
      </w:r>
      <w:r w:rsidR="00130D43" w:rsidRPr="00A561E1">
        <w:t>as</w:t>
      </w:r>
      <w:r w:rsidRPr="00A561E1">
        <w:t xml:space="preserve"> at a premium. This resulted in higher than expected bids as well as higher costs for construction change orders.</w:t>
      </w:r>
      <w:r w:rsidR="00BD18FB">
        <w:t xml:space="preserve"> In addition, as a result of the natural disaster Hurricane Katrina, there were significant impacts on the cost and availability of construction materials and labor that in turn had an </w:t>
      </w:r>
      <w:proofErr w:type="spellStart"/>
      <w:r w:rsidR="00BD18FB">
        <w:t>affect</w:t>
      </w:r>
      <w:proofErr w:type="spellEnd"/>
      <w:r w:rsidR="00BD18FB">
        <w:t xml:space="preserve"> on the SPRINTER Project, particularly with regard to the Vehicle Maintenance Facility (VMF) bids.  </w:t>
      </w:r>
    </w:p>
    <w:p w:rsidR="00246769" w:rsidRPr="00A561E1" w:rsidRDefault="00246769" w:rsidP="00246769">
      <w:pPr>
        <w:keepNext/>
        <w:ind w:left="360"/>
      </w:pPr>
    </w:p>
    <w:p w:rsidR="00EC2E6C" w:rsidRPr="00A561E1" w:rsidRDefault="00246769" w:rsidP="00246769">
      <w:pPr>
        <w:keepNext/>
        <w:numPr>
          <w:ilvl w:val="0"/>
          <w:numId w:val="20"/>
        </w:numPr>
      </w:pPr>
      <w:r w:rsidRPr="00A561E1">
        <w:t>Escalation of construction costs as a result of added time for negotiations with Burlington Northern-Santa Fe Railroad (BNSF)</w:t>
      </w:r>
    </w:p>
    <w:p w:rsidR="00246769" w:rsidRPr="00A561E1" w:rsidRDefault="00D105C6" w:rsidP="00CD3528">
      <w:pPr>
        <w:keepNext/>
        <w:ind w:left="1440" w:firstLine="360"/>
        <w:rPr>
          <w:i/>
        </w:rPr>
      </w:pPr>
      <w:r w:rsidRPr="00A561E1">
        <w:rPr>
          <w:i/>
        </w:rPr>
        <w:t xml:space="preserve">Approximate </w:t>
      </w:r>
      <w:r w:rsidR="00246769" w:rsidRPr="00A561E1">
        <w:rPr>
          <w:i/>
        </w:rPr>
        <w:t>Impact</w:t>
      </w:r>
      <w:r w:rsidR="00CD3528">
        <w:rPr>
          <w:i/>
        </w:rPr>
        <w:t>:  $37.8</w:t>
      </w:r>
      <w:r w:rsidR="00246769" w:rsidRPr="00A561E1">
        <w:rPr>
          <w:i/>
        </w:rPr>
        <w:t>M</w:t>
      </w:r>
    </w:p>
    <w:p w:rsidR="00EC2E6C" w:rsidRPr="00A561E1" w:rsidRDefault="00EC2E6C" w:rsidP="00CD3528">
      <w:pPr>
        <w:keepNext/>
        <w:ind w:left="1440" w:firstLine="360"/>
        <w:rPr>
          <w:i/>
        </w:rPr>
      </w:pPr>
      <w:r w:rsidRPr="00A561E1">
        <w:rPr>
          <w:i/>
        </w:rPr>
        <w:t>Period</w:t>
      </w:r>
      <w:r w:rsidR="00CD3528">
        <w:rPr>
          <w:i/>
        </w:rPr>
        <w:t xml:space="preserve">:  </w:t>
      </w:r>
      <w:r w:rsidRPr="00A561E1">
        <w:rPr>
          <w:i/>
        </w:rPr>
        <w:t>June 2002 to March 2004</w:t>
      </w:r>
    </w:p>
    <w:p w:rsidR="00741D70" w:rsidRPr="00A561E1" w:rsidRDefault="00741D70" w:rsidP="00CD3528">
      <w:pPr>
        <w:keepNext/>
        <w:ind w:left="1440" w:firstLine="360"/>
      </w:pPr>
      <w:r w:rsidRPr="00A561E1">
        <w:rPr>
          <w:i/>
        </w:rPr>
        <w:t>Impa</w:t>
      </w:r>
      <w:r w:rsidR="00EC2E6C" w:rsidRPr="00A561E1">
        <w:rPr>
          <w:i/>
        </w:rPr>
        <w:t>cted FTA Codes</w:t>
      </w:r>
      <w:r w:rsidR="00CD3528">
        <w:rPr>
          <w:i/>
        </w:rPr>
        <w:t xml:space="preserve">:  </w:t>
      </w:r>
      <w:r w:rsidR="00EC2E6C" w:rsidRPr="00A561E1">
        <w:rPr>
          <w:i/>
        </w:rPr>
        <w:t>132-01, 133-01</w:t>
      </w:r>
    </w:p>
    <w:p w:rsidR="00741D70" w:rsidRPr="00A561E1" w:rsidRDefault="00741D70" w:rsidP="00246769">
      <w:pPr>
        <w:keepNext/>
        <w:ind w:left="360"/>
      </w:pPr>
    </w:p>
    <w:p w:rsidR="00246769" w:rsidRPr="00A561E1" w:rsidRDefault="00246769" w:rsidP="00246769">
      <w:pPr>
        <w:ind w:left="1080"/>
      </w:pPr>
      <w:r w:rsidRPr="00A561E1">
        <w:t>NCTD attempted to execute a Construction Agreement with BNSF to allow closure of the freight operations during construction. The development of the BNSF/NCTD construction agreement commenced in the summer of 2002, when NCTD and BNSF developed a conceptual plan/agreement.  But at that time, the BNSF was reluctant to continue development of the accommodation plan, known as “trans-loading”, until the FFGA was executed.  In December 2002, the NCTD Construction Management (CM) Consultant developed a cost estimate that indicated that a potential cost avoidance of $26M could be realized by having BNSF vacate the track during the construction period, thus allowing a high production continuous linear track construction process.  The conditions imposed on NCTD as a result of the terms of the negotiations resulted in an extension of the project duration and was viewed as more economical than the alternative of accepting excessive trans-loading costs.</w:t>
      </w:r>
    </w:p>
    <w:p w:rsidR="00246769" w:rsidRPr="00A561E1" w:rsidRDefault="00246769" w:rsidP="00246769">
      <w:pPr>
        <w:ind w:left="1080"/>
      </w:pPr>
    </w:p>
    <w:p w:rsidR="00246769" w:rsidRPr="00A561E1" w:rsidRDefault="00246769" w:rsidP="00246769">
      <w:pPr>
        <w:ind w:left="1080"/>
      </w:pPr>
      <w:r w:rsidRPr="00A561E1">
        <w:t xml:space="preserve">NCTD completed a trans-loading agreement with BNSF, essentially an Amendment to the 1992 NCTD–BNSF Shared Use Agreement, and reached accord with BNSF on </w:t>
      </w:r>
      <w:smartTag w:uri="urn:schemas-microsoft-com:office:smarttags" w:element="date">
        <w:smartTagPr>
          <w:attr w:name="Month" w:val="3"/>
          <w:attr w:name="Day" w:val="26"/>
          <w:attr w:name="Year" w:val="2004"/>
        </w:smartTagPr>
        <w:r w:rsidRPr="00A561E1">
          <w:t>March 26, 2004</w:t>
        </w:r>
      </w:smartTag>
      <w:r w:rsidRPr="00A561E1">
        <w:t xml:space="preserve">, 13 months after the execution of the FFGA on </w:t>
      </w:r>
      <w:smartTag w:uri="urn:schemas-microsoft-com:office:smarttags" w:element="date">
        <w:smartTagPr>
          <w:attr w:name="Month" w:val="2"/>
          <w:attr w:name="Day" w:val="26"/>
          <w:attr w:name="Year" w:val="2003"/>
        </w:smartTagPr>
        <w:r w:rsidRPr="00A561E1">
          <w:t>February 26, 2003</w:t>
        </w:r>
      </w:smartTag>
      <w:r w:rsidRPr="00A561E1">
        <w:t xml:space="preserve">. The agreement allowed a freight delivery window on Friday from </w:t>
      </w:r>
      <w:smartTag w:uri="urn:schemas-microsoft-com:office:smarttags" w:element="time">
        <w:smartTagPr>
          <w:attr w:name="Hour" w:val="18"/>
          <w:attr w:name="Minute" w:val="0"/>
        </w:smartTagPr>
        <w:r w:rsidRPr="00A561E1">
          <w:t>6:00 pm</w:t>
        </w:r>
      </w:smartTag>
      <w:r w:rsidRPr="00A561E1">
        <w:t xml:space="preserve"> to Monday at </w:t>
      </w:r>
      <w:smartTag w:uri="urn:schemas-microsoft-com:office:smarttags" w:element="time">
        <w:smartTagPr>
          <w:attr w:name="Hour" w:val="4"/>
          <w:attr w:name="Minute" w:val="0"/>
        </w:smartTagPr>
        <w:r w:rsidRPr="00A561E1">
          <w:t>4:00 a.m.</w:t>
        </w:r>
      </w:smartTag>
      <w:r w:rsidRPr="00A561E1">
        <w:t xml:space="preserve"> per the Shared Use Agreement, but the complete closure during construction was not achieved, adding two years to the project schedule.</w:t>
      </w:r>
    </w:p>
    <w:p w:rsidR="00246769" w:rsidRPr="00A561E1" w:rsidRDefault="00246769" w:rsidP="00246769">
      <w:pPr>
        <w:keepNext/>
        <w:ind w:left="360"/>
      </w:pPr>
    </w:p>
    <w:p w:rsidR="00246769" w:rsidRPr="00A561E1" w:rsidRDefault="00246769" w:rsidP="00246769">
      <w:pPr>
        <w:keepNext/>
        <w:numPr>
          <w:ilvl w:val="0"/>
          <w:numId w:val="20"/>
        </w:numPr>
        <w:rPr>
          <w:i/>
        </w:rPr>
      </w:pPr>
      <w:r w:rsidRPr="00A561E1">
        <w:t xml:space="preserve">Escalation of construction costs as a result of added time to obtain </w:t>
      </w:r>
      <w:r w:rsidR="00D105C6" w:rsidRPr="00A561E1">
        <w:t>CPUC</w:t>
      </w:r>
      <w:r w:rsidRPr="00A561E1">
        <w:t xml:space="preserve"> approval of deviations from General Order 143-B</w:t>
      </w:r>
      <w:r w:rsidRPr="00A561E1">
        <w:rPr>
          <w:i/>
        </w:rPr>
        <w:t xml:space="preserve"> </w:t>
      </w:r>
    </w:p>
    <w:p w:rsidR="00585E18" w:rsidRPr="00A561E1" w:rsidRDefault="00585E18" w:rsidP="00693AED">
      <w:pPr>
        <w:keepNext/>
        <w:ind w:left="1440" w:firstLine="360"/>
        <w:rPr>
          <w:i/>
        </w:rPr>
      </w:pPr>
      <w:r w:rsidRPr="00A561E1">
        <w:rPr>
          <w:i/>
        </w:rPr>
        <w:t>Approximate Impact</w:t>
      </w:r>
      <w:r w:rsidR="00693AED">
        <w:rPr>
          <w:i/>
        </w:rPr>
        <w:t>:  T</w:t>
      </w:r>
      <w:r w:rsidRPr="00A561E1">
        <w:rPr>
          <w:i/>
        </w:rPr>
        <w:t>ied to BNSF delay</w:t>
      </w:r>
    </w:p>
    <w:p w:rsidR="00585E18" w:rsidRPr="00A561E1" w:rsidRDefault="00585E18" w:rsidP="00693AED">
      <w:pPr>
        <w:keepNext/>
        <w:ind w:left="1440" w:firstLine="360"/>
        <w:rPr>
          <w:i/>
        </w:rPr>
      </w:pPr>
      <w:r w:rsidRPr="00A561E1">
        <w:rPr>
          <w:i/>
        </w:rPr>
        <w:t>Period</w:t>
      </w:r>
      <w:r w:rsidR="00693AED">
        <w:rPr>
          <w:i/>
        </w:rPr>
        <w:t xml:space="preserve">:  </w:t>
      </w:r>
      <w:r w:rsidR="00832DE6" w:rsidRPr="00A561E1">
        <w:rPr>
          <w:i/>
        </w:rPr>
        <w:t>December</w:t>
      </w:r>
      <w:r w:rsidRPr="00A561E1">
        <w:rPr>
          <w:i/>
        </w:rPr>
        <w:t xml:space="preserve"> 2002 to </w:t>
      </w:r>
      <w:r w:rsidR="00721D0E" w:rsidRPr="00A561E1">
        <w:rPr>
          <w:i/>
        </w:rPr>
        <w:t>December 2003</w:t>
      </w:r>
    </w:p>
    <w:p w:rsidR="00D105C6" w:rsidRPr="00A561E1" w:rsidRDefault="00D105C6" w:rsidP="00693AED">
      <w:pPr>
        <w:keepNext/>
        <w:ind w:left="1440" w:firstLine="360"/>
        <w:rPr>
          <w:i/>
        </w:rPr>
      </w:pPr>
      <w:r w:rsidRPr="00A561E1">
        <w:rPr>
          <w:i/>
        </w:rPr>
        <w:t>Impacted FTA Codes</w:t>
      </w:r>
      <w:r w:rsidR="00693AED">
        <w:rPr>
          <w:i/>
        </w:rPr>
        <w:t xml:space="preserve">:  </w:t>
      </w:r>
      <w:r w:rsidRPr="00A561E1">
        <w:rPr>
          <w:i/>
        </w:rPr>
        <w:t>132-01, 133-01</w:t>
      </w:r>
    </w:p>
    <w:p w:rsidR="00D105C6" w:rsidRPr="00A561E1" w:rsidRDefault="00D105C6" w:rsidP="00246769">
      <w:pPr>
        <w:keepNext/>
        <w:ind w:left="1080"/>
      </w:pPr>
    </w:p>
    <w:p w:rsidR="00246769" w:rsidRPr="00A561E1" w:rsidRDefault="00246769" w:rsidP="00246769">
      <w:pPr>
        <w:ind w:left="1080"/>
      </w:pPr>
      <w:r w:rsidRPr="00A561E1">
        <w:t xml:space="preserve">After detailed negotiations with vehicle suppliers, it was concluded that the DMU railcar vehicles would not comply with the CPUC General Order 143-B requirements for light rail vehicles. Thusly, a protracted development of a request for deviation from the CPUC General Order 143-B was required to allow operation of the DMU in California. This resulted in a delay of over 11 months.  On </w:t>
      </w:r>
      <w:smartTag w:uri="urn:schemas-microsoft-com:office:smarttags" w:element="date">
        <w:smartTagPr>
          <w:attr w:name="Month" w:val="12"/>
          <w:attr w:name="Day" w:val="18"/>
          <w:attr w:name="Year" w:val="2003"/>
        </w:smartTagPr>
        <w:r w:rsidRPr="00A561E1">
          <w:t>December 18, 2003</w:t>
        </w:r>
      </w:smartTag>
      <w:r w:rsidRPr="00A561E1">
        <w:t xml:space="preserve"> the NCTD Board awarded a contract to Siemens to provide 12 DMU vehicles for a not-to-exceed amount of $50,648,634. The CPUC also approved NCTD’s request for deviation at the </w:t>
      </w:r>
      <w:smartTag w:uri="urn:schemas-microsoft-com:office:smarttags" w:element="date">
        <w:smartTagPr>
          <w:attr w:name="Month" w:val="12"/>
          <w:attr w:name="Day" w:val="18"/>
          <w:attr w:name="Year" w:val="2003"/>
        </w:smartTagPr>
        <w:r w:rsidRPr="00A561E1">
          <w:t>December 18, 2003</w:t>
        </w:r>
      </w:smartTag>
      <w:r w:rsidRPr="00A561E1">
        <w:t xml:space="preserve"> CPUC meeting.</w:t>
      </w:r>
    </w:p>
    <w:p w:rsidR="00246769" w:rsidRPr="00A561E1" w:rsidRDefault="00246769" w:rsidP="00246769">
      <w:pPr>
        <w:ind w:left="360"/>
      </w:pPr>
    </w:p>
    <w:p w:rsidR="00246769" w:rsidRPr="00A561E1" w:rsidRDefault="00246769" w:rsidP="00246769">
      <w:pPr>
        <w:ind w:left="1080"/>
      </w:pPr>
      <w:r w:rsidRPr="00A561E1">
        <w:t>By this time the project encountered a condition in which NCTD would not be able to completely close the Oceanside-Escondido rail corridor during all construction, resulting in the project time-to-construct being extended and culminating in a delay to the FFGA ROD of two years.</w:t>
      </w:r>
    </w:p>
    <w:p w:rsidR="00246769" w:rsidRPr="00A561E1" w:rsidRDefault="00246769" w:rsidP="00246769">
      <w:pPr>
        <w:keepNext/>
        <w:ind w:left="360"/>
      </w:pPr>
    </w:p>
    <w:p w:rsidR="00246769" w:rsidRPr="00A561E1" w:rsidRDefault="00246769" w:rsidP="00246769">
      <w:pPr>
        <w:keepNext/>
        <w:numPr>
          <w:ilvl w:val="0"/>
          <w:numId w:val="20"/>
        </w:numPr>
      </w:pPr>
      <w:r w:rsidRPr="00A561E1">
        <w:t>DMU Procurement Costs</w:t>
      </w:r>
    </w:p>
    <w:p w:rsidR="00667528" w:rsidRPr="00A561E1" w:rsidRDefault="00667528" w:rsidP="00667528">
      <w:pPr>
        <w:keepNext/>
        <w:ind w:left="1080" w:firstLine="360"/>
        <w:rPr>
          <w:i/>
        </w:rPr>
      </w:pPr>
      <w:r w:rsidRPr="00A561E1">
        <w:rPr>
          <w:i/>
        </w:rPr>
        <w:t>Approximate Impact</w:t>
      </w:r>
      <w:r w:rsidR="00B60658">
        <w:rPr>
          <w:i/>
        </w:rPr>
        <w:t xml:space="preserve">:  </w:t>
      </w:r>
      <w:r w:rsidRPr="00A561E1">
        <w:rPr>
          <w:i/>
        </w:rPr>
        <w:t>$12.0M</w:t>
      </w:r>
    </w:p>
    <w:p w:rsidR="00667528" w:rsidRPr="00A561E1" w:rsidRDefault="00667528" w:rsidP="00667528">
      <w:pPr>
        <w:keepNext/>
        <w:ind w:left="1080" w:firstLine="360"/>
        <w:rPr>
          <w:i/>
        </w:rPr>
      </w:pPr>
      <w:r w:rsidRPr="00A561E1">
        <w:rPr>
          <w:i/>
        </w:rPr>
        <w:t>Period</w:t>
      </w:r>
      <w:r w:rsidR="00B60658">
        <w:rPr>
          <w:i/>
        </w:rPr>
        <w:t xml:space="preserve">:  </w:t>
      </w:r>
      <w:r w:rsidRPr="00A561E1">
        <w:rPr>
          <w:i/>
        </w:rPr>
        <w:t>January 2002 to December 2003</w:t>
      </w:r>
    </w:p>
    <w:p w:rsidR="00CE3328" w:rsidRPr="00A561E1" w:rsidRDefault="00CE3328" w:rsidP="00667528">
      <w:pPr>
        <w:keepNext/>
        <w:ind w:left="1080" w:firstLine="360"/>
      </w:pPr>
      <w:r w:rsidRPr="00A561E1">
        <w:rPr>
          <w:i/>
        </w:rPr>
        <w:t>Impacted FTA Codes</w:t>
      </w:r>
      <w:r w:rsidR="00B60658">
        <w:rPr>
          <w:i/>
        </w:rPr>
        <w:t xml:space="preserve">:  </w:t>
      </w:r>
      <w:r w:rsidRPr="00A561E1">
        <w:rPr>
          <w:i/>
        </w:rPr>
        <w:t>13.13.2</w:t>
      </w:r>
      <w:r w:rsidR="00667528" w:rsidRPr="00A561E1">
        <w:rPr>
          <w:i/>
        </w:rPr>
        <w:t>8</w:t>
      </w:r>
    </w:p>
    <w:p w:rsidR="00246769" w:rsidRPr="00A561E1" w:rsidRDefault="00246769" w:rsidP="00246769">
      <w:pPr>
        <w:keepNext/>
        <w:ind w:left="360"/>
      </w:pPr>
    </w:p>
    <w:p w:rsidR="00246769" w:rsidRPr="00A561E1" w:rsidRDefault="00130D43" w:rsidP="00246769">
      <w:pPr>
        <w:ind w:left="1080"/>
      </w:pPr>
      <w:r w:rsidRPr="00A561E1">
        <w:t xml:space="preserve">Due to the limited market and relatively small order of twelve DMUs, </w:t>
      </w:r>
      <w:r w:rsidR="00246769" w:rsidRPr="00A561E1">
        <w:t>NCTD experienced nearly a 25% increase in the cost of vehicles over the original budget estimate developed prior to the vehicle solicitation</w:t>
      </w:r>
      <w:r w:rsidRPr="00A561E1">
        <w:t>.</w:t>
      </w:r>
    </w:p>
    <w:p w:rsidR="00246769" w:rsidRPr="00A561E1" w:rsidRDefault="00246769" w:rsidP="00246769">
      <w:pPr>
        <w:keepNext/>
        <w:ind w:left="360"/>
      </w:pPr>
    </w:p>
    <w:p w:rsidR="00055108" w:rsidRPr="00A561E1" w:rsidRDefault="00055108" w:rsidP="009164C8">
      <w:pPr>
        <w:ind w:left="1800"/>
      </w:pPr>
    </w:p>
    <w:p w:rsidR="00077473" w:rsidRPr="00A561E1" w:rsidRDefault="008D34A7" w:rsidP="00055108">
      <w:r w:rsidRPr="00A561E1">
        <w:t>It should be noted that</w:t>
      </w:r>
      <w:r w:rsidR="00246769" w:rsidRPr="00A561E1">
        <w:t xml:space="preserve"> the </w:t>
      </w:r>
      <w:r w:rsidR="00363B4C">
        <w:t xml:space="preserve">direct </w:t>
      </w:r>
      <w:r w:rsidR="00246769" w:rsidRPr="00A561E1">
        <w:t>impact value associated with each issue was not easily discernable</w:t>
      </w:r>
      <w:r w:rsidRPr="00A561E1">
        <w:t xml:space="preserve"> in many cases</w:t>
      </w:r>
      <w:r w:rsidR="00246769" w:rsidRPr="00A561E1">
        <w:t xml:space="preserve">.  </w:t>
      </w:r>
      <w:r w:rsidR="00363B4C">
        <w:t>T</w:t>
      </w:r>
      <w:r w:rsidR="00246769" w:rsidRPr="00A561E1">
        <w:t xml:space="preserve">he full impact of all issues was $132.6M, calculated as the difference between the FFGA budget and Amended FFGA budget.  However, there is </w:t>
      </w:r>
      <w:r w:rsidR="00363B4C">
        <w:t xml:space="preserve">some </w:t>
      </w:r>
      <w:r w:rsidR="00246769" w:rsidRPr="00A561E1">
        <w:t xml:space="preserve">overlap </w:t>
      </w:r>
      <w:r w:rsidR="00363B4C">
        <w:t xml:space="preserve">with regard to the impact of various issues.  Therefore, </w:t>
      </w:r>
      <w:r w:rsidR="00246769" w:rsidRPr="00A561E1">
        <w:t xml:space="preserve">the sum of the individual impacts listed </w:t>
      </w:r>
      <w:r w:rsidR="00363B4C">
        <w:t xml:space="preserve">above </w:t>
      </w:r>
      <w:r w:rsidR="00246769" w:rsidRPr="00A561E1">
        <w:t xml:space="preserve">is </w:t>
      </w:r>
      <w:r w:rsidR="00363B4C">
        <w:t xml:space="preserve">greater </w:t>
      </w:r>
      <w:r w:rsidR="00246769" w:rsidRPr="00A561E1">
        <w:t xml:space="preserve">than </w:t>
      </w:r>
      <w:r w:rsidR="00363B4C" w:rsidRPr="00A561E1">
        <w:t>$132.6M</w:t>
      </w:r>
      <w:r w:rsidR="00363B4C">
        <w:t xml:space="preserve"> when also taking the unallocated contingency amount into consideration</w:t>
      </w:r>
      <w:r w:rsidR="00246769" w:rsidRPr="00A561E1">
        <w:t>.</w:t>
      </w:r>
    </w:p>
    <w:p w:rsidR="00246769" w:rsidRPr="00A561E1" w:rsidRDefault="00246769" w:rsidP="00246769"/>
    <w:p w:rsidR="008C7078" w:rsidRDefault="008C7078" w:rsidP="00A418D5"/>
    <w:p w:rsidR="008C7078" w:rsidRDefault="008C7078" w:rsidP="00A418D5"/>
    <w:p w:rsidR="008C7078" w:rsidRDefault="008C7078" w:rsidP="00A418D5"/>
    <w:p w:rsidR="008C7078" w:rsidRDefault="008C7078" w:rsidP="00A418D5"/>
    <w:p w:rsidR="008C7078" w:rsidRDefault="008C7078" w:rsidP="00A418D5"/>
    <w:p w:rsidR="008C7078" w:rsidRDefault="008C7078" w:rsidP="00A418D5"/>
    <w:p w:rsidR="00077473" w:rsidRPr="00A561E1" w:rsidRDefault="00077473" w:rsidP="00A418D5">
      <w:r w:rsidRPr="00A561E1">
        <w:t xml:space="preserve">The following table presents the </w:t>
      </w:r>
      <w:r w:rsidR="0089209C" w:rsidRPr="00A561E1">
        <w:t>current financial status of the SPRINTER Project</w:t>
      </w:r>
      <w:r w:rsidRPr="00A561E1">
        <w:t xml:space="preserve"> for each line item.</w:t>
      </w:r>
    </w:p>
    <w:p w:rsidR="00077473" w:rsidRPr="00A561E1" w:rsidRDefault="00077473" w:rsidP="00077473"/>
    <w:p w:rsidR="005A18D1" w:rsidRPr="00A561E1" w:rsidRDefault="005A18D1" w:rsidP="005A18D1">
      <w:pPr>
        <w:pStyle w:val="Caption"/>
      </w:pPr>
      <w:bookmarkStart w:id="54" w:name="_Toc186615051"/>
      <w:r w:rsidRPr="00A561E1">
        <w:t xml:space="preserve">Table </w:t>
      </w:r>
      <w:fldSimple w:instr=" SEQ Table \* ARABIC ">
        <w:r w:rsidR="00F01E8C">
          <w:rPr>
            <w:noProof/>
          </w:rPr>
          <w:t>2</w:t>
        </w:r>
      </w:fldSimple>
      <w:r w:rsidRPr="00A561E1">
        <w:t>.</w:t>
      </w:r>
      <w:r w:rsidRPr="00A561E1">
        <w:tab/>
      </w:r>
      <w:r w:rsidRPr="00A561E1">
        <w:rPr>
          <w:noProof/>
        </w:rPr>
        <w:t>Project Financial Status (Through November 2007)</w:t>
      </w:r>
      <w:bookmarkEnd w:id="54"/>
    </w:p>
    <w:p w:rsidR="00246769" w:rsidRPr="00A561E1" w:rsidRDefault="00F01E8C" w:rsidP="00A31413">
      <w:pPr>
        <w:keepNext/>
        <w:jc w:val="center"/>
      </w:pPr>
      <w:r>
        <w:rPr>
          <w:noProof/>
        </w:rPr>
        <w:drawing>
          <wp:inline distT="0" distB="0" distL="0" distR="0">
            <wp:extent cx="6400800" cy="490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0" cy="4905375"/>
                    </a:xfrm>
                    <a:prstGeom prst="rect">
                      <a:avLst/>
                    </a:prstGeom>
                    <a:noFill/>
                    <a:ln>
                      <a:noFill/>
                    </a:ln>
                  </pic:spPr>
                </pic:pic>
              </a:graphicData>
            </a:graphic>
          </wp:inline>
        </w:drawing>
      </w:r>
    </w:p>
    <w:p w:rsidR="00783955" w:rsidRDefault="00783955" w:rsidP="00783955"/>
    <w:p w:rsidR="0044751E" w:rsidRPr="00A561E1" w:rsidRDefault="00F43BE4">
      <w:pPr>
        <w:pStyle w:val="Heading3"/>
      </w:pPr>
      <w:bookmarkStart w:id="55" w:name="_Toc186615024"/>
      <w:r>
        <w:t xml:space="preserve">2005 </w:t>
      </w:r>
      <w:r w:rsidR="0044751E" w:rsidRPr="00A561E1">
        <w:t>Recovery Plan</w:t>
      </w:r>
      <w:bookmarkEnd w:id="55"/>
    </w:p>
    <w:p w:rsidR="0044751E" w:rsidRPr="00213096" w:rsidRDefault="0044751E">
      <w:pPr>
        <w:pStyle w:val="Header"/>
        <w:keepNext/>
        <w:rPr>
          <w:rFonts w:eastAsia="Batang"/>
          <w:b w:val="0"/>
          <w:bCs/>
        </w:rPr>
      </w:pPr>
      <w:r w:rsidRPr="00213096">
        <w:rPr>
          <w:rFonts w:eastAsia="Batang"/>
          <w:b w:val="0"/>
          <w:bCs/>
        </w:rPr>
        <w:t>In January 2004, FTA Region IX directed the PMOC to perform a risk-based management review of the SPRINTER Project to classify and assess project schedule and project cost using the general principles and approach specified in FTA Operating Guidance No. 22, “Risk Assessment and Mitigation Procedures.”  FTA Region IX subsequently directed NCTD to prepare a Recovery Plan for the SPRINTER Project.</w:t>
      </w:r>
    </w:p>
    <w:p w:rsidR="0044751E" w:rsidRPr="00213096" w:rsidRDefault="0044751E">
      <w:pPr>
        <w:pStyle w:val="Header"/>
        <w:rPr>
          <w:rFonts w:eastAsia="Batang"/>
          <w:b w:val="0"/>
          <w:bCs/>
        </w:rPr>
      </w:pPr>
    </w:p>
    <w:p w:rsidR="0044751E" w:rsidRPr="00A561E1" w:rsidRDefault="0044751E">
      <w:r w:rsidRPr="00A561E1">
        <w:rPr>
          <w:rFonts w:eastAsia="Batang"/>
        </w:rPr>
        <w:t xml:space="preserve">The </w:t>
      </w:r>
      <w:r w:rsidRPr="00A561E1">
        <w:rPr>
          <w:rFonts w:eastAsia="Batang"/>
          <w:bCs/>
        </w:rPr>
        <w:t xml:space="preserve">PMOC’s </w:t>
      </w:r>
      <w:r w:rsidR="00DC654F" w:rsidRPr="00A561E1">
        <w:rPr>
          <w:rFonts w:eastAsia="Batang"/>
          <w:bCs/>
        </w:rPr>
        <w:t>Spot Report #8</w:t>
      </w:r>
      <w:r w:rsidRPr="00A561E1">
        <w:rPr>
          <w:rFonts w:eastAsia="Batang"/>
          <w:bCs/>
        </w:rPr>
        <w:t xml:space="preserve"> was submitted </w:t>
      </w:r>
      <w:smartTag w:uri="urn:schemas-microsoft-com:office:smarttags" w:element="date">
        <w:smartTagPr>
          <w:attr w:name="Month" w:val="4"/>
          <w:attr w:name="Day" w:val="24"/>
          <w:attr w:name="Year" w:val="2005"/>
        </w:smartTagPr>
        <w:r w:rsidRPr="00A561E1">
          <w:rPr>
            <w:rFonts w:eastAsia="Batang"/>
            <w:bCs/>
          </w:rPr>
          <w:t>April 24, 2005</w:t>
        </w:r>
      </w:smartTag>
      <w:r w:rsidRPr="00A561E1">
        <w:rPr>
          <w:rFonts w:eastAsia="Batang"/>
          <w:bCs/>
        </w:rPr>
        <w:t xml:space="preserve">.  Within the report, the PMOC indicated the level of confidence for achieving the FFGA Project Recovery Plan Budget of $365.6M was approximately 80%.  NCTD submitted a Recovery Plan in April 2005.  </w:t>
      </w:r>
      <w:r w:rsidRPr="00A561E1">
        <w:rPr>
          <w:rFonts w:eastAsia="Batang"/>
        </w:rPr>
        <w:t xml:space="preserve">The FTA approved the Recovery Plan on </w:t>
      </w:r>
      <w:smartTag w:uri="urn:schemas-microsoft-com:office:smarttags" w:element="date">
        <w:smartTagPr>
          <w:attr w:name="Month" w:val="6"/>
          <w:attr w:name="Day" w:val="30"/>
          <w:attr w:name="Year" w:val="2005"/>
        </w:smartTagPr>
        <w:r w:rsidRPr="00A561E1">
          <w:rPr>
            <w:rFonts w:eastAsia="Batang"/>
          </w:rPr>
          <w:t>June 30, 2005</w:t>
        </w:r>
      </w:smartTag>
      <w:r w:rsidRPr="00A561E1">
        <w:rPr>
          <w:rFonts w:eastAsia="Batang"/>
        </w:rPr>
        <w:t xml:space="preserve"> with an FFGA Project </w:t>
      </w:r>
      <w:r w:rsidRPr="00A561E1">
        <w:rPr>
          <w:bCs/>
          <w:iCs/>
        </w:rPr>
        <w:t>Recovery Plan Budget of $365.6M.  This budget was based on the successful implementation of all accepted recovery strategies.</w:t>
      </w:r>
    </w:p>
    <w:p w:rsidR="0044751E" w:rsidRPr="00A561E1" w:rsidRDefault="0044751E"/>
    <w:p w:rsidR="0044751E" w:rsidRPr="00A561E1" w:rsidRDefault="00F43BE4">
      <w:pPr>
        <w:pStyle w:val="Heading3"/>
      </w:pPr>
      <w:bookmarkStart w:id="56" w:name="_Toc186615025"/>
      <w:r>
        <w:t>2006</w:t>
      </w:r>
      <w:r w:rsidR="00A9651D" w:rsidRPr="00A561E1">
        <w:t xml:space="preserve"> </w:t>
      </w:r>
      <w:r w:rsidR="0044751E" w:rsidRPr="00A561E1">
        <w:t>Amended Recovery Plan</w:t>
      </w:r>
      <w:bookmarkEnd w:id="56"/>
      <w:r w:rsidR="0044751E" w:rsidRPr="00A561E1">
        <w:t xml:space="preserve"> </w:t>
      </w:r>
    </w:p>
    <w:p w:rsidR="0044751E" w:rsidRPr="00A561E1" w:rsidRDefault="0044751E">
      <w:r w:rsidRPr="00A561E1">
        <w:t>NCTD acknowledged in March 2006 that achieving the FFGA Project Recovery Plan Budget of $365.6M was at risk.  The PMOC and NCTD held a budget workshop in April 2006.  NCTD submitted a DRAFT Update: Cost-to-Complete Report in May 2006 that indicated the Recovery Plan Budget would be exceeded by a range of between $38.6M and $51.5M.  A follow-up workshop was held in June 2006, at which time the PMOC reviewed all supporting documentation to assess the NCTD EAC.</w:t>
      </w:r>
    </w:p>
    <w:p w:rsidR="0044751E" w:rsidRPr="00A561E1" w:rsidRDefault="0044751E"/>
    <w:p w:rsidR="0044751E" w:rsidRPr="00A561E1" w:rsidRDefault="0044751E">
      <w:r w:rsidRPr="00A561E1">
        <w:t xml:space="preserve">FTA directed the PMOC to provide a full assessment of the updated SPRINTER Project budget and schedule.  Spot Report </w:t>
      </w:r>
      <w:smartTag w:uri="urn:schemas-microsoft-com:office:smarttags" w:element="PersonName">
        <w:r w:rsidRPr="00A561E1">
          <w:t>#</w:t>
        </w:r>
      </w:smartTag>
      <w:r w:rsidRPr="00A561E1">
        <w:t xml:space="preserve">9 </w:t>
      </w:r>
      <w:r w:rsidR="00A9651D" w:rsidRPr="00A561E1">
        <w:t xml:space="preserve">dated </w:t>
      </w:r>
      <w:smartTag w:uri="urn:schemas-microsoft-com:office:smarttags" w:element="date">
        <w:smartTagPr>
          <w:attr w:name="Month" w:val="10"/>
          <w:attr w:name="Day" w:val="18"/>
          <w:attr w:name="Year" w:val="2006"/>
        </w:smartTagPr>
        <w:r w:rsidR="00A9651D" w:rsidRPr="00A561E1">
          <w:t>October 18, 2006</w:t>
        </w:r>
      </w:smartTag>
      <w:r w:rsidR="00955E1A">
        <w:t xml:space="preserve"> included the 2006 </w:t>
      </w:r>
      <w:r w:rsidR="000B1812" w:rsidRPr="00A561E1">
        <w:t xml:space="preserve">Cost </w:t>
      </w:r>
      <w:r w:rsidRPr="00A561E1">
        <w:t xml:space="preserve">Risk Assessment </w:t>
      </w:r>
      <w:r w:rsidR="00955E1A">
        <w:t xml:space="preserve">that identified </w:t>
      </w:r>
      <w:r w:rsidR="00A9651D" w:rsidRPr="00A561E1">
        <w:t xml:space="preserve">the </w:t>
      </w:r>
      <w:r w:rsidRPr="00A561E1">
        <w:t>Top Ten Risks</w:t>
      </w:r>
      <w:r w:rsidR="00955E1A">
        <w:t xml:space="preserve"> listed </w:t>
      </w:r>
      <w:r w:rsidR="00E61603" w:rsidRPr="00A561E1">
        <w:t xml:space="preserve">in Table 3.  </w:t>
      </w:r>
      <w:r w:rsidR="00573521">
        <w:t xml:space="preserve">For </w:t>
      </w:r>
      <w:r w:rsidR="009878DB" w:rsidRPr="00A561E1">
        <w:t>Spot Report</w:t>
      </w:r>
      <w:r w:rsidR="00133A41">
        <w:t xml:space="preserve"> #11</w:t>
      </w:r>
      <w:r w:rsidR="009878DB" w:rsidRPr="00A561E1">
        <w:t>, the PMOC re-evaluated the risks to the project</w:t>
      </w:r>
      <w:r w:rsidR="00133A41">
        <w:t xml:space="preserve"> and </w:t>
      </w:r>
      <w:r w:rsidR="00573521">
        <w:t xml:space="preserve">prepared the 2007 </w:t>
      </w:r>
      <w:r w:rsidR="00133A41">
        <w:t>Cost Risk Assessment</w:t>
      </w:r>
      <w:r w:rsidR="009878DB" w:rsidRPr="00A561E1">
        <w:t xml:space="preserve">.  </w:t>
      </w:r>
      <w:r w:rsidR="00E61603" w:rsidRPr="00A561E1">
        <w:t xml:space="preserve">Table 4 </w:t>
      </w:r>
      <w:r w:rsidR="009878DB" w:rsidRPr="00A561E1">
        <w:t>of this report</w:t>
      </w:r>
      <w:r w:rsidR="00E61603" w:rsidRPr="00A561E1">
        <w:t xml:space="preserve"> </w:t>
      </w:r>
      <w:r w:rsidR="00133A41">
        <w:t>lists the current Top Five Risks</w:t>
      </w:r>
      <w:r w:rsidR="00E61603" w:rsidRPr="00A561E1">
        <w:t>.</w:t>
      </w:r>
    </w:p>
    <w:p w:rsidR="0044751E" w:rsidRPr="00A561E1" w:rsidRDefault="0044751E">
      <w:pPr>
        <w:rPr>
          <w:lang w:bidi="hi-IN"/>
        </w:rPr>
      </w:pPr>
    </w:p>
    <w:p w:rsidR="00A9651D" w:rsidRPr="00A561E1" w:rsidRDefault="0044751E" w:rsidP="00394E54">
      <w:pPr>
        <w:pStyle w:val="Caption"/>
      </w:pPr>
      <w:bookmarkStart w:id="57" w:name="_Toc186615052"/>
      <w:r w:rsidRPr="00A561E1">
        <w:t xml:space="preserve">Table </w:t>
      </w:r>
      <w:fldSimple w:instr=" SEQ Table \* ARABIC ">
        <w:r w:rsidR="00F01E8C">
          <w:rPr>
            <w:noProof/>
          </w:rPr>
          <w:t>3</w:t>
        </w:r>
      </w:fldSimple>
      <w:r w:rsidRPr="00A561E1">
        <w:t>.</w:t>
      </w:r>
      <w:r w:rsidRPr="00A561E1">
        <w:tab/>
        <w:t>2006 Top Ten Risks</w:t>
      </w:r>
      <w:bookmarkEnd w:id="57"/>
    </w:p>
    <w:tbl>
      <w:tblPr>
        <w:tblStyle w:val="TableGrid"/>
        <w:tblW w:w="9360" w:type="dxa"/>
        <w:jc w:val="center"/>
        <w:tblLook w:val="01E0" w:firstRow="1" w:lastRow="1" w:firstColumn="1" w:lastColumn="1" w:noHBand="0" w:noVBand="0"/>
      </w:tblPr>
      <w:tblGrid>
        <w:gridCol w:w="1023"/>
        <w:gridCol w:w="5411"/>
        <w:gridCol w:w="1463"/>
        <w:gridCol w:w="1463"/>
      </w:tblGrid>
      <w:tr w:rsidR="0044751E" w:rsidRPr="00A561E1">
        <w:trPr>
          <w:tblHeader/>
          <w:jc w:val="center"/>
        </w:trPr>
        <w:tc>
          <w:tcPr>
            <w:tcW w:w="1008" w:type="dxa"/>
            <w:vAlign w:val="center"/>
          </w:tcPr>
          <w:p w:rsidR="0044751E" w:rsidRPr="00A561E1" w:rsidRDefault="0044751E" w:rsidP="006269C2">
            <w:pPr>
              <w:keepNext/>
              <w:jc w:val="center"/>
              <w:rPr>
                <w:b/>
                <w:bCs/>
                <w:sz w:val="20"/>
                <w:szCs w:val="20"/>
              </w:rPr>
            </w:pPr>
            <w:r w:rsidRPr="00A561E1">
              <w:rPr>
                <w:b/>
                <w:bCs/>
                <w:sz w:val="20"/>
                <w:szCs w:val="20"/>
              </w:rPr>
              <w:t>Risk No.</w:t>
            </w:r>
          </w:p>
        </w:tc>
        <w:tc>
          <w:tcPr>
            <w:tcW w:w="5328" w:type="dxa"/>
            <w:vAlign w:val="center"/>
          </w:tcPr>
          <w:p w:rsidR="0044751E" w:rsidRPr="00A561E1" w:rsidRDefault="00C47475" w:rsidP="006269C2">
            <w:pPr>
              <w:keepNext/>
              <w:jc w:val="center"/>
              <w:rPr>
                <w:b/>
                <w:sz w:val="20"/>
                <w:szCs w:val="20"/>
              </w:rPr>
            </w:pPr>
            <w:r w:rsidRPr="00A561E1">
              <w:rPr>
                <w:b/>
                <w:bCs/>
                <w:sz w:val="20"/>
                <w:szCs w:val="20"/>
              </w:rPr>
              <w:t xml:space="preserve">Risk Description and </w:t>
            </w:r>
            <w:r w:rsidR="0044751E" w:rsidRPr="00A561E1">
              <w:rPr>
                <w:b/>
                <w:bCs/>
                <w:sz w:val="20"/>
                <w:szCs w:val="20"/>
              </w:rPr>
              <w:t>Mitigation Strategies</w:t>
            </w:r>
          </w:p>
        </w:tc>
        <w:tc>
          <w:tcPr>
            <w:tcW w:w="1440" w:type="dxa"/>
            <w:vAlign w:val="center"/>
          </w:tcPr>
          <w:p w:rsidR="0044751E" w:rsidRPr="00A561E1" w:rsidRDefault="00847A8C" w:rsidP="006269C2">
            <w:pPr>
              <w:pStyle w:val="Header"/>
              <w:keepNext/>
              <w:tabs>
                <w:tab w:val="clear" w:pos="4320"/>
                <w:tab w:val="clear" w:pos="8640"/>
              </w:tabs>
              <w:jc w:val="center"/>
              <w:rPr>
                <w:bCs/>
                <w:sz w:val="20"/>
                <w:szCs w:val="20"/>
              </w:rPr>
            </w:pPr>
            <w:r w:rsidRPr="00A561E1">
              <w:rPr>
                <w:sz w:val="20"/>
                <w:szCs w:val="20"/>
              </w:rPr>
              <w:t xml:space="preserve">Expected </w:t>
            </w:r>
            <w:r w:rsidR="0044751E" w:rsidRPr="00A561E1">
              <w:rPr>
                <w:sz w:val="20"/>
                <w:szCs w:val="20"/>
              </w:rPr>
              <w:t>Value (M)</w:t>
            </w:r>
            <w:r w:rsidR="00806A41" w:rsidRPr="00A561E1">
              <w:rPr>
                <w:sz w:val="20"/>
                <w:szCs w:val="20"/>
              </w:rPr>
              <w:t xml:space="preserve"> per Spot Report #9</w:t>
            </w:r>
          </w:p>
        </w:tc>
        <w:tc>
          <w:tcPr>
            <w:tcW w:w="1440" w:type="dxa"/>
            <w:vAlign w:val="center"/>
          </w:tcPr>
          <w:p w:rsidR="0044751E" w:rsidRPr="00A561E1" w:rsidRDefault="0044751E" w:rsidP="006269C2">
            <w:pPr>
              <w:pStyle w:val="Header"/>
              <w:keepNext/>
              <w:tabs>
                <w:tab w:val="clear" w:pos="4320"/>
                <w:tab w:val="clear" w:pos="8640"/>
              </w:tabs>
              <w:jc w:val="center"/>
              <w:rPr>
                <w:bCs/>
                <w:sz w:val="20"/>
                <w:szCs w:val="20"/>
              </w:rPr>
            </w:pPr>
            <w:r w:rsidRPr="00A561E1">
              <w:rPr>
                <w:bCs/>
                <w:sz w:val="20"/>
                <w:szCs w:val="20"/>
              </w:rPr>
              <w:t xml:space="preserve">% Complete Through </w:t>
            </w:r>
            <w:r w:rsidR="005B6D0F" w:rsidRPr="00A561E1">
              <w:rPr>
                <w:bCs/>
                <w:sz w:val="20"/>
                <w:szCs w:val="20"/>
              </w:rPr>
              <w:t>November</w:t>
            </w:r>
            <w:r w:rsidRPr="00A561E1">
              <w:rPr>
                <w:bCs/>
                <w:sz w:val="20"/>
                <w:szCs w:val="20"/>
              </w:rPr>
              <w:t xml:space="preserve"> 2007</w:t>
            </w:r>
          </w:p>
        </w:tc>
      </w:tr>
      <w:tr w:rsidR="0044751E" w:rsidRPr="00A561E1">
        <w:trPr>
          <w:cantSplit/>
          <w:jc w:val="center"/>
        </w:trPr>
        <w:tc>
          <w:tcPr>
            <w:tcW w:w="1008" w:type="dxa"/>
          </w:tcPr>
          <w:p w:rsidR="0044751E" w:rsidRPr="00A561E1" w:rsidRDefault="0044751E">
            <w:pPr>
              <w:pStyle w:val="BodyText"/>
              <w:tabs>
                <w:tab w:val="left" w:pos="2700"/>
              </w:tabs>
              <w:jc w:val="center"/>
              <w:rPr>
                <w:bCs w:val="0"/>
                <w:sz w:val="20"/>
                <w:szCs w:val="20"/>
              </w:rPr>
            </w:pPr>
            <w:r w:rsidRPr="00A561E1">
              <w:rPr>
                <w:bCs w:val="0"/>
                <w:sz w:val="20"/>
                <w:szCs w:val="20"/>
              </w:rPr>
              <w:t>2-101</w:t>
            </w:r>
          </w:p>
        </w:tc>
        <w:tc>
          <w:tcPr>
            <w:tcW w:w="5328" w:type="dxa"/>
          </w:tcPr>
          <w:p w:rsidR="0044751E" w:rsidRPr="00A561E1" w:rsidRDefault="0044751E">
            <w:pPr>
              <w:pStyle w:val="BodyText"/>
              <w:tabs>
                <w:tab w:val="left" w:pos="2700"/>
              </w:tabs>
              <w:jc w:val="left"/>
              <w:rPr>
                <w:b/>
                <w:bCs w:val="0"/>
                <w:sz w:val="20"/>
                <w:szCs w:val="20"/>
              </w:rPr>
            </w:pPr>
            <w:r w:rsidRPr="00A561E1">
              <w:rPr>
                <w:b/>
                <w:bCs w:val="0"/>
                <w:sz w:val="20"/>
                <w:szCs w:val="20"/>
              </w:rPr>
              <w:t>Additional Costs Due to Unknown Issues</w:t>
            </w:r>
            <w:r w:rsidRPr="00A561E1">
              <w:rPr>
                <w:rFonts w:ascii="Times New Roman Bold" w:hAnsi="Times New Roman Bold"/>
                <w:b/>
                <w:bCs w:val="0"/>
                <w:sz w:val="20"/>
                <w:szCs w:val="20"/>
                <w:vertAlign w:val="superscript"/>
              </w:rPr>
              <w:t>1</w:t>
            </w:r>
          </w:p>
          <w:p w:rsidR="0044751E" w:rsidRPr="00A561E1" w:rsidRDefault="0044751E">
            <w:pPr>
              <w:pStyle w:val="BodyText"/>
              <w:tabs>
                <w:tab w:val="left" w:pos="2700"/>
              </w:tabs>
              <w:jc w:val="left"/>
              <w:rPr>
                <w:bCs w:val="0"/>
                <w:sz w:val="20"/>
                <w:szCs w:val="20"/>
              </w:rPr>
            </w:pPr>
            <w:r w:rsidRPr="00A561E1">
              <w:rPr>
                <w:bCs w:val="0"/>
                <w:sz w:val="20"/>
                <w:szCs w:val="20"/>
              </w:rPr>
              <w:t>NCTD executed a Claims Settlement Agreement with the Mainline and Stations Contractor in May 2007.  The agreement contained two parts: (1) $12.2M for resolution of inefficiency damages; and (2) $3.3M for constructive acceleration to meet NCTD’s target ROD of December 2007.</w:t>
            </w:r>
          </w:p>
          <w:p w:rsidR="0044751E" w:rsidRPr="00A561E1" w:rsidRDefault="0044751E">
            <w:pPr>
              <w:pStyle w:val="BodyText"/>
              <w:tabs>
                <w:tab w:val="left" w:pos="2700"/>
              </w:tabs>
              <w:jc w:val="left"/>
              <w:rPr>
                <w:bCs w:val="0"/>
                <w:sz w:val="20"/>
                <w:szCs w:val="20"/>
              </w:rPr>
            </w:pPr>
          </w:p>
          <w:p w:rsidR="00A9651D" w:rsidRPr="00A561E1" w:rsidRDefault="0044751E">
            <w:pPr>
              <w:pStyle w:val="BodyText"/>
              <w:tabs>
                <w:tab w:val="left" w:pos="2700"/>
              </w:tabs>
              <w:jc w:val="left"/>
              <w:rPr>
                <w:bCs w:val="0"/>
                <w:sz w:val="20"/>
                <w:szCs w:val="20"/>
              </w:rPr>
            </w:pPr>
            <w:r w:rsidRPr="00A561E1">
              <w:rPr>
                <w:bCs w:val="0"/>
                <w:sz w:val="20"/>
                <w:szCs w:val="20"/>
              </w:rPr>
              <w:t xml:space="preserve">As part of the agreement, modifications were made to the remaining Intermediate Milestones.  These new milestones were incorporated into a new baseline schedule that was prepared by the contractor.  </w:t>
            </w:r>
            <w:r w:rsidR="004277B1" w:rsidRPr="00A561E1">
              <w:rPr>
                <w:bCs w:val="0"/>
                <w:sz w:val="20"/>
                <w:szCs w:val="20"/>
              </w:rPr>
              <w:t>C</w:t>
            </w:r>
            <w:r w:rsidRPr="00A561E1">
              <w:rPr>
                <w:bCs w:val="0"/>
                <w:sz w:val="20"/>
                <w:szCs w:val="20"/>
              </w:rPr>
              <w:t xml:space="preserve">onstructive acceleration payments </w:t>
            </w:r>
            <w:r w:rsidR="004277B1" w:rsidRPr="00A561E1">
              <w:rPr>
                <w:bCs w:val="0"/>
                <w:sz w:val="20"/>
                <w:szCs w:val="20"/>
              </w:rPr>
              <w:t>were tied to the milestones</w:t>
            </w:r>
            <w:r w:rsidRPr="00A561E1">
              <w:rPr>
                <w:bCs w:val="0"/>
                <w:sz w:val="20"/>
                <w:szCs w:val="20"/>
              </w:rPr>
              <w:t>.</w:t>
            </w:r>
            <w:r w:rsidR="00E61603" w:rsidRPr="00A561E1">
              <w:rPr>
                <w:bCs w:val="0"/>
                <w:sz w:val="20"/>
                <w:szCs w:val="20"/>
              </w:rPr>
              <w:t xml:space="preserve">  In addition, the settlement agreement provided a mechanism to resolve some quantity adjustments.</w:t>
            </w:r>
          </w:p>
        </w:tc>
        <w:tc>
          <w:tcPr>
            <w:tcW w:w="1440" w:type="dxa"/>
          </w:tcPr>
          <w:p w:rsidR="0044751E" w:rsidRPr="00A561E1" w:rsidRDefault="0044751E">
            <w:pPr>
              <w:pStyle w:val="BodyText"/>
              <w:tabs>
                <w:tab w:val="left" w:pos="2700"/>
              </w:tabs>
              <w:jc w:val="right"/>
              <w:rPr>
                <w:bCs w:val="0"/>
                <w:sz w:val="20"/>
                <w:szCs w:val="20"/>
              </w:rPr>
            </w:pPr>
            <w:r w:rsidRPr="00A561E1">
              <w:rPr>
                <w:bCs w:val="0"/>
                <w:sz w:val="20"/>
                <w:szCs w:val="20"/>
              </w:rPr>
              <w:t>$13.53</w:t>
            </w:r>
          </w:p>
        </w:tc>
        <w:tc>
          <w:tcPr>
            <w:tcW w:w="1440" w:type="dxa"/>
          </w:tcPr>
          <w:p w:rsidR="0044751E" w:rsidRPr="00A561E1" w:rsidRDefault="0044751E">
            <w:pPr>
              <w:pStyle w:val="BodyText"/>
              <w:tabs>
                <w:tab w:val="left" w:pos="2700"/>
              </w:tabs>
              <w:jc w:val="right"/>
              <w:rPr>
                <w:bCs w:val="0"/>
                <w:sz w:val="20"/>
                <w:szCs w:val="20"/>
              </w:rPr>
            </w:pPr>
            <w:r w:rsidRPr="00A561E1">
              <w:rPr>
                <w:bCs w:val="0"/>
                <w:sz w:val="20"/>
                <w:szCs w:val="20"/>
              </w:rPr>
              <w:t>100%</w:t>
            </w:r>
          </w:p>
        </w:tc>
      </w:tr>
      <w:tr w:rsidR="0044751E" w:rsidRPr="00A561E1">
        <w:trPr>
          <w:cantSplit/>
          <w:jc w:val="center"/>
        </w:trPr>
        <w:tc>
          <w:tcPr>
            <w:tcW w:w="1008" w:type="dxa"/>
          </w:tcPr>
          <w:p w:rsidR="0044751E" w:rsidRPr="00A561E1" w:rsidRDefault="0044751E">
            <w:pPr>
              <w:pStyle w:val="BodyText"/>
              <w:tabs>
                <w:tab w:val="left" w:pos="2700"/>
              </w:tabs>
              <w:jc w:val="center"/>
              <w:rPr>
                <w:bCs w:val="0"/>
                <w:sz w:val="20"/>
                <w:szCs w:val="20"/>
              </w:rPr>
            </w:pPr>
            <w:r w:rsidRPr="00A561E1">
              <w:rPr>
                <w:bCs w:val="0"/>
                <w:sz w:val="20"/>
                <w:szCs w:val="20"/>
              </w:rPr>
              <w:t>2-102</w:t>
            </w:r>
          </w:p>
        </w:tc>
        <w:tc>
          <w:tcPr>
            <w:tcW w:w="5328" w:type="dxa"/>
          </w:tcPr>
          <w:p w:rsidR="0044751E" w:rsidRPr="00A561E1" w:rsidRDefault="00A9651D">
            <w:pPr>
              <w:pStyle w:val="BodyText"/>
              <w:tabs>
                <w:tab w:val="left" w:pos="2700"/>
              </w:tabs>
              <w:jc w:val="left"/>
              <w:rPr>
                <w:bCs w:val="0"/>
                <w:sz w:val="20"/>
                <w:szCs w:val="20"/>
              </w:rPr>
            </w:pPr>
            <w:r w:rsidRPr="00A561E1">
              <w:rPr>
                <w:b/>
                <w:bCs w:val="0"/>
                <w:sz w:val="20"/>
                <w:szCs w:val="20"/>
              </w:rPr>
              <w:t xml:space="preserve">Procurement of a </w:t>
            </w:r>
            <w:r w:rsidR="0044751E" w:rsidRPr="00A561E1">
              <w:rPr>
                <w:b/>
                <w:bCs w:val="0"/>
                <w:sz w:val="20"/>
                <w:szCs w:val="20"/>
              </w:rPr>
              <w:t xml:space="preserve">Separate Closeout GC Contract </w:t>
            </w:r>
          </w:p>
          <w:p w:rsidR="0044751E" w:rsidRPr="00A561E1" w:rsidRDefault="0044751E">
            <w:pPr>
              <w:pStyle w:val="BodyText"/>
              <w:tabs>
                <w:tab w:val="left" w:pos="2700"/>
              </w:tabs>
              <w:jc w:val="left"/>
              <w:rPr>
                <w:bCs w:val="0"/>
                <w:sz w:val="20"/>
                <w:szCs w:val="20"/>
              </w:rPr>
            </w:pPr>
            <w:r w:rsidRPr="00A561E1">
              <w:rPr>
                <w:bCs w:val="0"/>
                <w:sz w:val="20"/>
                <w:szCs w:val="20"/>
              </w:rPr>
              <w:t>(1) Review similar projects to determine scope of work and magnitude; (2) Develop contract criteria; (3) Review existing contracts for potential omitted work items; (4) Maintain closeout contract scope document; (5) Develop Invitation to Bid.</w:t>
            </w:r>
          </w:p>
          <w:p w:rsidR="00A714E0" w:rsidRPr="00A561E1" w:rsidRDefault="00A714E0">
            <w:pPr>
              <w:pStyle w:val="BodyText"/>
              <w:tabs>
                <w:tab w:val="left" w:pos="2700"/>
              </w:tabs>
              <w:jc w:val="left"/>
              <w:rPr>
                <w:bCs w:val="0"/>
                <w:iCs/>
                <w:sz w:val="20"/>
                <w:szCs w:val="20"/>
              </w:rPr>
            </w:pPr>
          </w:p>
          <w:p w:rsidR="00A714E0" w:rsidRPr="00A561E1" w:rsidRDefault="00A714E0">
            <w:pPr>
              <w:pStyle w:val="BodyText"/>
              <w:tabs>
                <w:tab w:val="left" w:pos="2700"/>
              </w:tabs>
              <w:jc w:val="left"/>
              <w:rPr>
                <w:b/>
                <w:bCs w:val="0"/>
                <w:i/>
                <w:iCs/>
                <w:sz w:val="20"/>
                <w:szCs w:val="20"/>
              </w:rPr>
            </w:pPr>
            <w:r w:rsidRPr="00A561E1">
              <w:rPr>
                <w:bCs w:val="0"/>
                <w:i/>
                <w:iCs/>
                <w:sz w:val="20"/>
                <w:szCs w:val="20"/>
              </w:rPr>
              <w:t xml:space="preserve">[At the time of this Spot Report, NCTD was anticipating </w:t>
            </w:r>
            <w:r w:rsidR="00E56C96" w:rsidRPr="00A561E1">
              <w:rPr>
                <w:bCs w:val="0"/>
                <w:i/>
                <w:iCs/>
                <w:sz w:val="20"/>
                <w:szCs w:val="20"/>
              </w:rPr>
              <w:t xml:space="preserve">the </w:t>
            </w:r>
            <w:r w:rsidRPr="00A561E1">
              <w:rPr>
                <w:bCs w:val="0"/>
                <w:i/>
                <w:iCs/>
                <w:sz w:val="20"/>
                <w:szCs w:val="20"/>
              </w:rPr>
              <w:t xml:space="preserve">need to issue </w:t>
            </w:r>
            <w:r w:rsidR="00E56C96" w:rsidRPr="00A561E1">
              <w:rPr>
                <w:bCs w:val="0"/>
                <w:i/>
                <w:iCs/>
                <w:sz w:val="20"/>
                <w:szCs w:val="20"/>
              </w:rPr>
              <w:t xml:space="preserve">one </w:t>
            </w:r>
            <w:r w:rsidRPr="00A561E1">
              <w:rPr>
                <w:bCs w:val="0"/>
                <w:i/>
                <w:iCs/>
                <w:sz w:val="20"/>
                <w:szCs w:val="20"/>
              </w:rPr>
              <w:t>separate closeout contract</w:t>
            </w:r>
            <w:r w:rsidR="00B55B66">
              <w:rPr>
                <w:bCs w:val="0"/>
                <w:i/>
                <w:iCs/>
                <w:sz w:val="20"/>
                <w:szCs w:val="20"/>
              </w:rPr>
              <w:t>.</w:t>
            </w:r>
            <w:r w:rsidR="00E56C96" w:rsidRPr="00A561E1">
              <w:rPr>
                <w:bCs w:val="0"/>
                <w:i/>
                <w:iCs/>
                <w:sz w:val="20"/>
                <w:szCs w:val="20"/>
              </w:rPr>
              <w:t>]</w:t>
            </w:r>
          </w:p>
        </w:tc>
        <w:tc>
          <w:tcPr>
            <w:tcW w:w="1440" w:type="dxa"/>
          </w:tcPr>
          <w:p w:rsidR="0044751E" w:rsidRPr="00A561E1" w:rsidRDefault="0044751E">
            <w:pPr>
              <w:pStyle w:val="BodyText"/>
              <w:tabs>
                <w:tab w:val="left" w:pos="2700"/>
              </w:tabs>
              <w:jc w:val="right"/>
              <w:rPr>
                <w:bCs w:val="0"/>
                <w:sz w:val="20"/>
                <w:szCs w:val="20"/>
              </w:rPr>
            </w:pPr>
            <w:r w:rsidRPr="00A561E1">
              <w:rPr>
                <w:bCs w:val="0"/>
                <w:sz w:val="20"/>
                <w:szCs w:val="20"/>
              </w:rPr>
              <w:t>$8.7</w:t>
            </w:r>
          </w:p>
        </w:tc>
        <w:tc>
          <w:tcPr>
            <w:tcW w:w="1440" w:type="dxa"/>
          </w:tcPr>
          <w:p w:rsidR="0044751E" w:rsidRPr="00A561E1" w:rsidRDefault="00E56C96">
            <w:pPr>
              <w:pStyle w:val="BodyText"/>
              <w:tabs>
                <w:tab w:val="left" w:pos="2700"/>
              </w:tabs>
              <w:jc w:val="right"/>
              <w:rPr>
                <w:bCs w:val="0"/>
                <w:sz w:val="20"/>
                <w:szCs w:val="20"/>
              </w:rPr>
            </w:pPr>
            <w:r w:rsidRPr="00A561E1">
              <w:rPr>
                <w:bCs w:val="0"/>
                <w:sz w:val="20"/>
                <w:szCs w:val="20"/>
              </w:rPr>
              <w:t>4</w:t>
            </w:r>
            <w:r w:rsidR="00B6250F" w:rsidRPr="00A561E1">
              <w:rPr>
                <w:bCs w:val="0"/>
                <w:sz w:val="20"/>
                <w:szCs w:val="20"/>
              </w:rPr>
              <w:t>0</w:t>
            </w:r>
            <w:r w:rsidR="0044751E" w:rsidRPr="00A561E1">
              <w:rPr>
                <w:bCs w:val="0"/>
                <w:sz w:val="20"/>
                <w:szCs w:val="20"/>
              </w:rPr>
              <w:t>%</w:t>
            </w:r>
          </w:p>
        </w:tc>
      </w:tr>
      <w:tr w:rsidR="0044751E" w:rsidRPr="00A561E1">
        <w:trPr>
          <w:cantSplit/>
          <w:jc w:val="center"/>
        </w:trPr>
        <w:tc>
          <w:tcPr>
            <w:tcW w:w="1008" w:type="dxa"/>
          </w:tcPr>
          <w:p w:rsidR="0044751E" w:rsidRPr="00A561E1" w:rsidRDefault="0044751E">
            <w:pPr>
              <w:tabs>
                <w:tab w:val="left" w:pos="2700"/>
              </w:tabs>
              <w:jc w:val="center"/>
              <w:rPr>
                <w:bCs/>
                <w:sz w:val="20"/>
                <w:szCs w:val="20"/>
              </w:rPr>
            </w:pPr>
            <w:r w:rsidRPr="00A561E1">
              <w:rPr>
                <w:bCs/>
                <w:sz w:val="20"/>
                <w:szCs w:val="20"/>
              </w:rPr>
              <w:t>5-003</w:t>
            </w:r>
          </w:p>
        </w:tc>
        <w:tc>
          <w:tcPr>
            <w:tcW w:w="5328" w:type="dxa"/>
          </w:tcPr>
          <w:p w:rsidR="0044751E" w:rsidRPr="00A561E1" w:rsidRDefault="0044751E">
            <w:pPr>
              <w:tabs>
                <w:tab w:val="left" w:pos="2700"/>
              </w:tabs>
              <w:jc w:val="left"/>
              <w:rPr>
                <w:b/>
                <w:bCs/>
                <w:sz w:val="20"/>
                <w:szCs w:val="20"/>
              </w:rPr>
            </w:pPr>
            <w:r w:rsidRPr="00A561E1">
              <w:rPr>
                <w:b/>
                <w:bCs/>
                <w:sz w:val="20"/>
                <w:szCs w:val="20"/>
              </w:rPr>
              <w:t>Project schedule slip – Extended construction duration/additional CM</w:t>
            </w:r>
          </w:p>
          <w:p w:rsidR="0044751E" w:rsidRPr="00A561E1" w:rsidRDefault="0044751E">
            <w:pPr>
              <w:tabs>
                <w:tab w:val="left" w:pos="2700"/>
              </w:tabs>
              <w:jc w:val="left"/>
              <w:rPr>
                <w:sz w:val="20"/>
                <w:szCs w:val="20"/>
              </w:rPr>
            </w:pPr>
            <w:r w:rsidRPr="00A561E1">
              <w:rPr>
                <w:sz w:val="20"/>
                <w:szCs w:val="20"/>
              </w:rPr>
              <w:t>(1) CM to develop integrated startup schedule; (2) Establish new ROD; (3) Add Startup Program Manager; (4) Accept risk if there is still a schedule slip; (5) Request updated CM cost to complete based on assumption of ROD of July 2008.</w:t>
            </w:r>
          </w:p>
        </w:tc>
        <w:tc>
          <w:tcPr>
            <w:tcW w:w="1440" w:type="dxa"/>
          </w:tcPr>
          <w:p w:rsidR="0044751E" w:rsidRPr="00A561E1" w:rsidRDefault="0044751E">
            <w:pPr>
              <w:pStyle w:val="BodyText"/>
              <w:tabs>
                <w:tab w:val="left" w:pos="2700"/>
              </w:tabs>
              <w:jc w:val="right"/>
              <w:rPr>
                <w:bCs w:val="0"/>
                <w:sz w:val="20"/>
                <w:szCs w:val="20"/>
              </w:rPr>
            </w:pPr>
            <w:r w:rsidRPr="00A561E1">
              <w:rPr>
                <w:bCs w:val="0"/>
                <w:sz w:val="20"/>
                <w:szCs w:val="20"/>
              </w:rPr>
              <w:t>$5.85</w:t>
            </w:r>
          </w:p>
        </w:tc>
        <w:tc>
          <w:tcPr>
            <w:tcW w:w="1440" w:type="dxa"/>
          </w:tcPr>
          <w:p w:rsidR="0044751E" w:rsidRPr="00A561E1" w:rsidRDefault="00893029">
            <w:pPr>
              <w:pStyle w:val="BodyText"/>
              <w:tabs>
                <w:tab w:val="left" w:pos="2700"/>
              </w:tabs>
              <w:jc w:val="right"/>
              <w:rPr>
                <w:bCs w:val="0"/>
                <w:sz w:val="20"/>
                <w:szCs w:val="20"/>
              </w:rPr>
            </w:pPr>
            <w:r w:rsidRPr="00A561E1">
              <w:rPr>
                <w:bCs w:val="0"/>
                <w:sz w:val="20"/>
                <w:szCs w:val="20"/>
              </w:rPr>
              <w:t>50</w:t>
            </w:r>
            <w:r w:rsidR="0044751E" w:rsidRPr="00A561E1">
              <w:rPr>
                <w:bCs w:val="0"/>
                <w:sz w:val="20"/>
                <w:szCs w:val="20"/>
              </w:rPr>
              <w:t>%</w:t>
            </w:r>
          </w:p>
        </w:tc>
      </w:tr>
      <w:tr w:rsidR="0044751E" w:rsidRPr="00A561E1">
        <w:trPr>
          <w:cantSplit/>
          <w:jc w:val="center"/>
        </w:trPr>
        <w:tc>
          <w:tcPr>
            <w:tcW w:w="1008" w:type="dxa"/>
          </w:tcPr>
          <w:p w:rsidR="0044751E" w:rsidRPr="00A561E1" w:rsidRDefault="0044751E">
            <w:pPr>
              <w:jc w:val="center"/>
              <w:rPr>
                <w:sz w:val="20"/>
                <w:szCs w:val="20"/>
              </w:rPr>
            </w:pPr>
            <w:r w:rsidRPr="00A561E1">
              <w:rPr>
                <w:sz w:val="20"/>
                <w:szCs w:val="20"/>
              </w:rPr>
              <w:t>2-016</w:t>
            </w:r>
          </w:p>
        </w:tc>
        <w:tc>
          <w:tcPr>
            <w:tcW w:w="5328" w:type="dxa"/>
          </w:tcPr>
          <w:p w:rsidR="0044751E" w:rsidRPr="00A561E1" w:rsidRDefault="0044751E">
            <w:pPr>
              <w:jc w:val="left"/>
              <w:rPr>
                <w:b/>
                <w:bCs/>
                <w:sz w:val="20"/>
                <w:szCs w:val="20"/>
              </w:rPr>
            </w:pPr>
            <w:r w:rsidRPr="00A561E1">
              <w:rPr>
                <w:b/>
                <w:bCs/>
                <w:sz w:val="20"/>
                <w:szCs w:val="20"/>
              </w:rPr>
              <w:t>Train Control – Potential integration and Startup Costs, claims and delays</w:t>
            </w:r>
          </w:p>
          <w:p w:rsidR="0044751E" w:rsidRPr="00A561E1" w:rsidRDefault="0044751E">
            <w:pPr>
              <w:jc w:val="left"/>
              <w:rPr>
                <w:sz w:val="20"/>
                <w:szCs w:val="20"/>
              </w:rPr>
            </w:pPr>
            <w:r w:rsidRPr="00A561E1">
              <w:rPr>
                <w:sz w:val="20"/>
                <w:szCs w:val="20"/>
              </w:rPr>
              <w:t xml:space="preserve">(1) Receive Central Train Control proposal from West Coast Rail Constructors (Mainline and Stations Contractor) that complies with contract requirements; (2) Develop flow chart to identify all critical activities (i.e. completion of design, procurement, installation, testing, and integration); (3) Ensure signalization sub-contractor has acceptable Vital Processing Interlocking (VPI) testing quality protocol, and that contractor has acknowledged requirement to rack test all VPIs; (4) Tie to activities in contract schedule; (5) Submission of System Integration and Testing Plan would identify all project elements and provide ability to more thoroughly assess risks; (6) Contract Specifications require contractor to use industry-standard suppliers for all hardware.  </w:t>
            </w:r>
          </w:p>
        </w:tc>
        <w:tc>
          <w:tcPr>
            <w:tcW w:w="1440" w:type="dxa"/>
          </w:tcPr>
          <w:p w:rsidR="0044751E" w:rsidRPr="00A561E1" w:rsidRDefault="0044751E">
            <w:pPr>
              <w:pStyle w:val="BodyText"/>
              <w:tabs>
                <w:tab w:val="left" w:pos="2700"/>
              </w:tabs>
              <w:jc w:val="right"/>
              <w:rPr>
                <w:bCs w:val="0"/>
                <w:sz w:val="20"/>
                <w:szCs w:val="20"/>
              </w:rPr>
            </w:pPr>
            <w:r w:rsidRPr="00A561E1">
              <w:rPr>
                <w:bCs w:val="0"/>
                <w:sz w:val="20"/>
                <w:szCs w:val="20"/>
              </w:rPr>
              <w:t>$5.78</w:t>
            </w:r>
          </w:p>
        </w:tc>
        <w:tc>
          <w:tcPr>
            <w:tcW w:w="1440" w:type="dxa"/>
          </w:tcPr>
          <w:p w:rsidR="0044751E" w:rsidRPr="00A561E1" w:rsidRDefault="0044751E">
            <w:pPr>
              <w:pStyle w:val="BodyText"/>
              <w:tabs>
                <w:tab w:val="left" w:pos="2700"/>
              </w:tabs>
              <w:jc w:val="right"/>
              <w:rPr>
                <w:bCs w:val="0"/>
                <w:sz w:val="20"/>
                <w:szCs w:val="20"/>
              </w:rPr>
            </w:pPr>
            <w:r w:rsidRPr="00A561E1">
              <w:rPr>
                <w:bCs w:val="0"/>
                <w:sz w:val="20"/>
                <w:szCs w:val="20"/>
              </w:rPr>
              <w:t>50%</w:t>
            </w:r>
          </w:p>
        </w:tc>
      </w:tr>
      <w:tr w:rsidR="0044751E" w:rsidRPr="00A561E1">
        <w:trPr>
          <w:cantSplit/>
          <w:jc w:val="center"/>
        </w:trPr>
        <w:tc>
          <w:tcPr>
            <w:tcW w:w="1008" w:type="dxa"/>
          </w:tcPr>
          <w:p w:rsidR="0044751E" w:rsidRPr="00A561E1" w:rsidRDefault="0044751E">
            <w:pPr>
              <w:tabs>
                <w:tab w:val="left" w:pos="2700"/>
              </w:tabs>
              <w:jc w:val="center"/>
              <w:rPr>
                <w:bCs/>
                <w:sz w:val="20"/>
                <w:szCs w:val="20"/>
              </w:rPr>
            </w:pPr>
            <w:r w:rsidRPr="00A561E1">
              <w:rPr>
                <w:bCs/>
                <w:sz w:val="20"/>
                <w:szCs w:val="20"/>
              </w:rPr>
              <w:t>2-018</w:t>
            </w:r>
          </w:p>
        </w:tc>
        <w:tc>
          <w:tcPr>
            <w:tcW w:w="5328" w:type="dxa"/>
          </w:tcPr>
          <w:p w:rsidR="0044751E" w:rsidRPr="00A561E1" w:rsidRDefault="0044751E">
            <w:pPr>
              <w:tabs>
                <w:tab w:val="left" w:pos="2700"/>
              </w:tabs>
              <w:jc w:val="left"/>
              <w:rPr>
                <w:b/>
                <w:bCs/>
                <w:sz w:val="20"/>
                <w:szCs w:val="20"/>
              </w:rPr>
            </w:pPr>
            <w:r w:rsidRPr="00A561E1">
              <w:rPr>
                <w:b/>
                <w:bCs/>
                <w:sz w:val="20"/>
                <w:szCs w:val="20"/>
              </w:rPr>
              <w:t>Communications – Potential integration and Startup Costs</w:t>
            </w:r>
          </w:p>
          <w:p w:rsidR="0044751E" w:rsidRPr="00A561E1" w:rsidRDefault="0044751E">
            <w:pPr>
              <w:tabs>
                <w:tab w:val="left" w:pos="2700"/>
              </w:tabs>
              <w:jc w:val="left"/>
              <w:rPr>
                <w:sz w:val="20"/>
                <w:szCs w:val="20"/>
              </w:rPr>
            </w:pPr>
            <w:r w:rsidRPr="00A561E1">
              <w:rPr>
                <w:sz w:val="20"/>
                <w:szCs w:val="20"/>
              </w:rPr>
              <w:t>(1) Develop flow chart to identify all critical activities; (2) Tie to activities in contract schedule; (3) Confirm equipment testing plan is acceptable; (4) Assess possible need for additional contractor communications manpower.</w:t>
            </w:r>
          </w:p>
        </w:tc>
        <w:tc>
          <w:tcPr>
            <w:tcW w:w="1440" w:type="dxa"/>
          </w:tcPr>
          <w:p w:rsidR="0044751E" w:rsidRPr="00A561E1" w:rsidRDefault="0044751E">
            <w:pPr>
              <w:pStyle w:val="BodyText"/>
              <w:tabs>
                <w:tab w:val="left" w:pos="2700"/>
              </w:tabs>
              <w:jc w:val="right"/>
              <w:rPr>
                <w:bCs w:val="0"/>
                <w:sz w:val="20"/>
                <w:szCs w:val="20"/>
              </w:rPr>
            </w:pPr>
            <w:r w:rsidRPr="00A561E1">
              <w:rPr>
                <w:bCs w:val="0"/>
                <w:sz w:val="20"/>
                <w:szCs w:val="20"/>
              </w:rPr>
              <w:t>$5.31</w:t>
            </w:r>
          </w:p>
        </w:tc>
        <w:tc>
          <w:tcPr>
            <w:tcW w:w="1440" w:type="dxa"/>
          </w:tcPr>
          <w:p w:rsidR="0044751E" w:rsidRPr="00A561E1" w:rsidRDefault="0044751E">
            <w:pPr>
              <w:pStyle w:val="BodyText"/>
              <w:tabs>
                <w:tab w:val="left" w:pos="2700"/>
              </w:tabs>
              <w:jc w:val="right"/>
              <w:rPr>
                <w:bCs w:val="0"/>
                <w:sz w:val="20"/>
                <w:szCs w:val="20"/>
              </w:rPr>
            </w:pPr>
            <w:r w:rsidRPr="00A561E1">
              <w:rPr>
                <w:bCs w:val="0"/>
                <w:sz w:val="20"/>
                <w:szCs w:val="20"/>
              </w:rPr>
              <w:t>50%</w:t>
            </w:r>
          </w:p>
        </w:tc>
      </w:tr>
      <w:tr w:rsidR="0044751E" w:rsidRPr="00A561E1">
        <w:trPr>
          <w:cantSplit/>
          <w:jc w:val="center"/>
        </w:trPr>
        <w:tc>
          <w:tcPr>
            <w:tcW w:w="1008" w:type="dxa"/>
          </w:tcPr>
          <w:p w:rsidR="0044751E" w:rsidRPr="00A561E1" w:rsidRDefault="0044751E">
            <w:pPr>
              <w:tabs>
                <w:tab w:val="left" w:pos="2700"/>
              </w:tabs>
              <w:jc w:val="center"/>
              <w:rPr>
                <w:bCs/>
                <w:sz w:val="20"/>
                <w:szCs w:val="20"/>
              </w:rPr>
            </w:pPr>
            <w:r w:rsidRPr="00A561E1">
              <w:rPr>
                <w:bCs/>
                <w:sz w:val="20"/>
                <w:szCs w:val="20"/>
              </w:rPr>
              <w:t>5-006</w:t>
            </w:r>
          </w:p>
        </w:tc>
        <w:tc>
          <w:tcPr>
            <w:tcW w:w="5328" w:type="dxa"/>
          </w:tcPr>
          <w:p w:rsidR="0044751E" w:rsidRPr="00A561E1" w:rsidRDefault="0044751E">
            <w:pPr>
              <w:tabs>
                <w:tab w:val="left" w:pos="2700"/>
              </w:tabs>
              <w:jc w:val="left"/>
              <w:rPr>
                <w:b/>
                <w:bCs/>
                <w:sz w:val="20"/>
                <w:szCs w:val="20"/>
              </w:rPr>
            </w:pPr>
            <w:r w:rsidRPr="00A561E1">
              <w:rPr>
                <w:b/>
                <w:bCs/>
                <w:sz w:val="20"/>
                <w:szCs w:val="20"/>
              </w:rPr>
              <w:t>Project Schedule Slip - Additional Design Services During Construction (DSDC)</w:t>
            </w:r>
          </w:p>
          <w:p w:rsidR="0044751E" w:rsidRPr="00A561E1" w:rsidRDefault="0044751E">
            <w:pPr>
              <w:tabs>
                <w:tab w:val="left" w:pos="2700"/>
              </w:tabs>
              <w:jc w:val="left"/>
              <w:rPr>
                <w:bCs/>
                <w:sz w:val="20"/>
                <w:szCs w:val="20"/>
              </w:rPr>
            </w:pPr>
            <w:r w:rsidRPr="00A561E1">
              <w:rPr>
                <w:bCs/>
                <w:sz w:val="20"/>
                <w:szCs w:val="20"/>
              </w:rPr>
              <w:t>(1) Receive recovery plan from DMJM to control their monthly costs and level of effort; (2) Review, negotiate, and accept DMJM's Recovery Plan; (3) Relocate two DMJM engineers to Field Office for increased accountability and control/availability; (4) Recover costs via Tolling Agreement and subsequent claims negotiations; (5) Complete DSDC services/complete construction.</w:t>
            </w:r>
          </w:p>
        </w:tc>
        <w:tc>
          <w:tcPr>
            <w:tcW w:w="1440" w:type="dxa"/>
          </w:tcPr>
          <w:p w:rsidR="0044751E" w:rsidRPr="00A561E1" w:rsidRDefault="0044751E">
            <w:pPr>
              <w:jc w:val="right"/>
              <w:rPr>
                <w:sz w:val="20"/>
                <w:szCs w:val="20"/>
              </w:rPr>
            </w:pPr>
            <w:r w:rsidRPr="00A561E1">
              <w:rPr>
                <w:sz w:val="20"/>
                <w:szCs w:val="20"/>
              </w:rPr>
              <w:t>$5.00</w:t>
            </w:r>
          </w:p>
        </w:tc>
        <w:tc>
          <w:tcPr>
            <w:tcW w:w="1440" w:type="dxa"/>
          </w:tcPr>
          <w:p w:rsidR="0044751E" w:rsidRPr="00A561E1" w:rsidRDefault="0044751E">
            <w:pPr>
              <w:jc w:val="right"/>
              <w:rPr>
                <w:bCs/>
                <w:sz w:val="20"/>
                <w:szCs w:val="20"/>
              </w:rPr>
            </w:pPr>
            <w:r w:rsidRPr="00A561E1">
              <w:rPr>
                <w:bCs/>
                <w:sz w:val="20"/>
                <w:szCs w:val="20"/>
              </w:rPr>
              <w:t>50%</w:t>
            </w:r>
          </w:p>
        </w:tc>
      </w:tr>
      <w:tr w:rsidR="0044751E" w:rsidRPr="00A561E1">
        <w:trPr>
          <w:cantSplit/>
          <w:jc w:val="center"/>
        </w:trPr>
        <w:tc>
          <w:tcPr>
            <w:tcW w:w="1008" w:type="dxa"/>
          </w:tcPr>
          <w:p w:rsidR="0044751E" w:rsidRPr="00A561E1" w:rsidRDefault="0044751E">
            <w:pPr>
              <w:tabs>
                <w:tab w:val="left" w:pos="2700"/>
              </w:tabs>
              <w:jc w:val="center"/>
              <w:rPr>
                <w:bCs/>
                <w:sz w:val="20"/>
                <w:szCs w:val="20"/>
              </w:rPr>
            </w:pPr>
            <w:r w:rsidRPr="00A561E1">
              <w:rPr>
                <w:bCs/>
                <w:sz w:val="20"/>
                <w:szCs w:val="20"/>
              </w:rPr>
              <w:t>4-100</w:t>
            </w:r>
          </w:p>
        </w:tc>
        <w:tc>
          <w:tcPr>
            <w:tcW w:w="5328" w:type="dxa"/>
          </w:tcPr>
          <w:p w:rsidR="0044751E" w:rsidRPr="00A561E1" w:rsidRDefault="0044751E">
            <w:pPr>
              <w:tabs>
                <w:tab w:val="left" w:pos="2700"/>
              </w:tabs>
              <w:jc w:val="left"/>
              <w:rPr>
                <w:b/>
                <w:bCs/>
                <w:sz w:val="20"/>
                <w:szCs w:val="20"/>
              </w:rPr>
            </w:pPr>
            <w:r w:rsidRPr="00A561E1">
              <w:rPr>
                <w:b/>
                <w:bCs/>
                <w:sz w:val="20"/>
                <w:szCs w:val="20"/>
              </w:rPr>
              <w:t>Potential Change Orders at VMF</w:t>
            </w:r>
          </w:p>
          <w:p w:rsidR="0044751E" w:rsidRPr="00A561E1" w:rsidRDefault="0044751E">
            <w:pPr>
              <w:tabs>
                <w:tab w:val="left" w:pos="2700"/>
              </w:tabs>
              <w:jc w:val="left"/>
              <w:rPr>
                <w:bCs/>
                <w:sz w:val="20"/>
                <w:szCs w:val="20"/>
              </w:rPr>
            </w:pPr>
            <w:r w:rsidRPr="00A561E1">
              <w:rPr>
                <w:bCs/>
                <w:sz w:val="20"/>
                <w:szCs w:val="20"/>
              </w:rPr>
              <w:t>(1) Re-evaluate risk at contract interim milestones based on percentage of completion of contract; (2) Continue to utilize the mitigation strategies indicated in the APR-05 Recovery Plan; (3) Eliminate all discretionary change orders (i.e., changes not required by design problems, site conditions, or other outside requirements); (4) When changes are required, perform change order evaluation and value engineering in advance of issuing Design Change Notice (DCN) to minimize cost.</w:t>
            </w:r>
          </w:p>
        </w:tc>
        <w:tc>
          <w:tcPr>
            <w:tcW w:w="1440" w:type="dxa"/>
          </w:tcPr>
          <w:p w:rsidR="0044751E" w:rsidRPr="00A561E1" w:rsidRDefault="0044751E">
            <w:pPr>
              <w:jc w:val="right"/>
              <w:rPr>
                <w:sz w:val="20"/>
                <w:szCs w:val="20"/>
              </w:rPr>
            </w:pPr>
            <w:r w:rsidRPr="00A561E1">
              <w:rPr>
                <w:sz w:val="20"/>
                <w:szCs w:val="20"/>
              </w:rPr>
              <w:t>$</w:t>
            </w:r>
            <w:r w:rsidR="00806A41" w:rsidRPr="00A561E1">
              <w:rPr>
                <w:sz w:val="20"/>
                <w:szCs w:val="20"/>
              </w:rPr>
              <w:t>2.96</w:t>
            </w:r>
          </w:p>
        </w:tc>
        <w:tc>
          <w:tcPr>
            <w:tcW w:w="1440" w:type="dxa"/>
          </w:tcPr>
          <w:p w:rsidR="0044751E" w:rsidRPr="00A561E1" w:rsidRDefault="00893029">
            <w:pPr>
              <w:jc w:val="right"/>
              <w:rPr>
                <w:bCs/>
                <w:sz w:val="20"/>
                <w:szCs w:val="20"/>
              </w:rPr>
            </w:pPr>
            <w:r w:rsidRPr="00A561E1">
              <w:rPr>
                <w:bCs/>
                <w:sz w:val="20"/>
                <w:szCs w:val="20"/>
              </w:rPr>
              <w:t>100</w:t>
            </w:r>
            <w:r w:rsidR="0044751E" w:rsidRPr="00A561E1">
              <w:rPr>
                <w:bCs/>
                <w:sz w:val="20"/>
                <w:szCs w:val="20"/>
              </w:rPr>
              <w:t>%</w:t>
            </w:r>
          </w:p>
        </w:tc>
      </w:tr>
      <w:tr w:rsidR="0044751E" w:rsidRPr="00A561E1">
        <w:trPr>
          <w:cantSplit/>
          <w:jc w:val="center"/>
        </w:trPr>
        <w:tc>
          <w:tcPr>
            <w:tcW w:w="1008" w:type="dxa"/>
          </w:tcPr>
          <w:p w:rsidR="0044751E" w:rsidRPr="00A561E1" w:rsidRDefault="0044751E">
            <w:pPr>
              <w:tabs>
                <w:tab w:val="left" w:pos="2700"/>
              </w:tabs>
              <w:jc w:val="center"/>
              <w:rPr>
                <w:bCs/>
                <w:sz w:val="20"/>
                <w:szCs w:val="20"/>
              </w:rPr>
            </w:pPr>
            <w:r w:rsidRPr="00A561E1">
              <w:rPr>
                <w:bCs/>
                <w:sz w:val="20"/>
                <w:szCs w:val="20"/>
              </w:rPr>
              <w:t>2-100</w:t>
            </w:r>
          </w:p>
        </w:tc>
        <w:tc>
          <w:tcPr>
            <w:tcW w:w="5328" w:type="dxa"/>
          </w:tcPr>
          <w:p w:rsidR="0044751E" w:rsidRPr="00A561E1" w:rsidRDefault="0044751E">
            <w:pPr>
              <w:tabs>
                <w:tab w:val="left" w:pos="2700"/>
              </w:tabs>
              <w:jc w:val="left"/>
              <w:rPr>
                <w:b/>
                <w:bCs/>
                <w:sz w:val="20"/>
                <w:szCs w:val="20"/>
              </w:rPr>
            </w:pPr>
            <w:r w:rsidRPr="00A561E1">
              <w:rPr>
                <w:b/>
                <w:bCs/>
                <w:sz w:val="20"/>
                <w:szCs w:val="20"/>
              </w:rPr>
              <w:t xml:space="preserve">Potential Change Orders - </w:t>
            </w:r>
            <w:proofErr w:type="spellStart"/>
            <w:r w:rsidRPr="00A561E1">
              <w:rPr>
                <w:b/>
                <w:bCs/>
                <w:sz w:val="20"/>
                <w:szCs w:val="20"/>
              </w:rPr>
              <w:t>Transitway</w:t>
            </w:r>
            <w:proofErr w:type="spellEnd"/>
            <w:r w:rsidRPr="00A561E1">
              <w:rPr>
                <w:b/>
                <w:bCs/>
                <w:sz w:val="20"/>
                <w:szCs w:val="20"/>
              </w:rPr>
              <w:t xml:space="preserve"> Construction</w:t>
            </w:r>
          </w:p>
          <w:p w:rsidR="0044751E" w:rsidRPr="00A561E1" w:rsidRDefault="0044751E">
            <w:pPr>
              <w:tabs>
                <w:tab w:val="left" w:pos="2700"/>
              </w:tabs>
              <w:jc w:val="left"/>
              <w:rPr>
                <w:b/>
                <w:bCs/>
                <w:sz w:val="20"/>
                <w:szCs w:val="20"/>
              </w:rPr>
            </w:pPr>
            <w:r w:rsidRPr="00A561E1">
              <w:rPr>
                <w:bCs/>
                <w:sz w:val="20"/>
                <w:szCs w:val="20"/>
              </w:rPr>
              <w:t>(1) Continue to utilize the mitigation strategies indicated in the April 2005 Recovery Plan; (2) Eliminate all discretionary change orders (i.e., changes not required by design problems, site conditions, or other outside requirements); (3) When changes are required, perform change order evaluation and value engineering in advance of issuing DCN to minimize cost.</w:t>
            </w:r>
          </w:p>
        </w:tc>
        <w:tc>
          <w:tcPr>
            <w:tcW w:w="1440" w:type="dxa"/>
          </w:tcPr>
          <w:p w:rsidR="0044751E" w:rsidRPr="00A561E1" w:rsidRDefault="0044751E">
            <w:pPr>
              <w:jc w:val="right"/>
              <w:rPr>
                <w:sz w:val="20"/>
                <w:szCs w:val="20"/>
              </w:rPr>
            </w:pPr>
            <w:r w:rsidRPr="00A561E1">
              <w:rPr>
                <w:sz w:val="20"/>
                <w:szCs w:val="20"/>
              </w:rPr>
              <w:t>$2.51</w:t>
            </w:r>
          </w:p>
        </w:tc>
        <w:tc>
          <w:tcPr>
            <w:tcW w:w="1440" w:type="dxa"/>
          </w:tcPr>
          <w:p w:rsidR="0044751E" w:rsidRPr="00A561E1" w:rsidRDefault="0044751E">
            <w:pPr>
              <w:jc w:val="right"/>
              <w:rPr>
                <w:bCs/>
                <w:sz w:val="20"/>
                <w:szCs w:val="20"/>
              </w:rPr>
            </w:pPr>
            <w:r w:rsidRPr="00A561E1">
              <w:rPr>
                <w:bCs/>
                <w:sz w:val="20"/>
                <w:szCs w:val="20"/>
              </w:rPr>
              <w:t>25%</w:t>
            </w:r>
          </w:p>
        </w:tc>
      </w:tr>
      <w:tr w:rsidR="0044751E" w:rsidRPr="00A561E1">
        <w:trPr>
          <w:cantSplit/>
          <w:jc w:val="center"/>
        </w:trPr>
        <w:tc>
          <w:tcPr>
            <w:tcW w:w="1008" w:type="dxa"/>
          </w:tcPr>
          <w:p w:rsidR="0044751E" w:rsidRPr="00A561E1" w:rsidRDefault="0044751E">
            <w:pPr>
              <w:tabs>
                <w:tab w:val="left" w:pos="2700"/>
              </w:tabs>
              <w:jc w:val="center"/>
              <w:rPr>
                <w:bCs/>
                <w:sz w:val="20"/>
                <w:szCs w:val="20"/>
              </w:rPr>
            </w:pPr>
            <w:r w:rsidRPr="00A561E1">
              <w:rPr>
                <w:bCs/>
                <w:sz w:val="20"/>
                <w:szCs w:val="20"/>
              </w:rPr>
              <w:t>5-004</w:t>
            </w:r>
          </w:p>
        </w:tc>
        <w:tc>
          <w:tcPr>
            <w:tcW w:w="5328" w:type="dxa"/>
          </w:tcPr>
          <w:p w:rsidR="0044751E" w:rsidRPr="00A561E1" w:rsidRDefault="0044751E">
            <w:pPr>
              <w:tabs>
                <w:tab w:val="left" w:pos="2700"/>
              </w:tabs>
              <w:jc w:val="left"/>
              <w:rPr>
                <w:b/>
                <w:bCs/>
                <w:sz w:val="20"/>
                <w:szCs w:val="20"/>
              </w:rPr>
            </w:pPr>
            <w:r w:rsidRPr="00A561E1">
              <w:rPr>
                <w:b/>
                <w:bCs/>
                <w:sz w:val="20"/>
                <w:szCs w:val="20"/>
              </w:rPr>
              <w:t>System integration and testing more complex than planned</w:t>
            </w:r>
          </w:p>
          <w:p w:rsidR="0044751E" w:rsidRPr="00A561E1" w:rsidRDefault="0044751E">
            <w:pPr>
              <w:tabs>
                <w:tab w:val="left" w:pos="2700"/>
              </w:tabs>
              <w:jc w:val="left"/>
              <w:rPr>
                <w:b/>
                <w:bCs/>
                <w:sz w:val="20"/>
                <w:szCs w:val="20"/>
              </w:rPr>
            </w:pPr>
            <w:r w:rsidRPr="00A561E1">
              <w:rPr>
                <w:bCs/>
                <w:sz w:val="20"/>
                <w:szCs w:val="20"/>
              </w:rPr>
              <w:t>(1) Develop matrix with CPUC for  all interfaces (i.e. DMU, system testing, safety certification); (2) Add Startup Program Level Manager to Project Management Team with extensive new-start experience, to write detailed, integrated startup plan and oversee implementation; (3) Write detailed, integrated Startup and test plan and schedule, integrate all project activities.</w:t>
            </w:r>
          </w:p>
        </w:tc>
        <w:tc>
          <w:tcPr>
            <w:tcW w:w="1440" w:type="dxa"/>
          </w:tcPr>
          <w:p w:rsidR="0044751E" w:rsidRPr="00A561E1" w:rsidRDefault="0044751E">
            <w:pPr>
              <w:jc w:val="right"/>
              <w:rPr>
                <w:sz w:val="20"/>
                <w:szCs w:val="20"/>
              </w:rPr>
            </w:pPr>
            <w:r w:rsidRPr="00A561E1">
              <w:rPr>
                <w:sz w:val="20"/>
                <w:szCs w:val="20"/>
              </w:rPr>
              <w:t>$2.08</w:t>
            </w:r>
          </w:p>
        </w:tc>
        <w:tc>
          <w:tcPr>
            <w:tcW w:w="1440" w:type="dxa"/>
          </w:tcPr>
          <w:p w:rsidR="0044751E" w:rsidRPr="00A561E1" w:rsidRDefault="0044751E">
            <w:pPr>
              <w:jc w:val="right"/>
              <w:rPr>
                <w:bCs/>
                <w:sz w:val="20"/>
                <w:szCs w:val="20"/>
              </w:rPr>
            </w:pPr>
            <w:r w:rsidRPr="00A561E1">
              <w:rPr>
                <w:bCs/>
                <w:sz w:val="20"/>
                <w:szCs w:val="20"/>
              </w:rPr>
              <w:t>50%</w:t>
            </w:r>
          </w:p>
        </w:tc>
      </w:tr>
      <w:tr w:rsidR="0044751E" w:rsidRPr="00A561E1">
        <w:trPr>
          <w:cantSplit/>
          <w:jc w:val="center"/>
        </w:trPr>
        <w:tc>
          <w:tcPr>
            <w:tcW w:w="1008" w:type="dxa"/>
            <w:tcBorders>
              <w:bottom w:val="single" w:sz="4" w:space="0" w:color="auto"/>
            </w:tcBorders>
          </w:tcPr>
          <w:p w:rsidR="0044751E" w:rsidRPr="00A561E1" w:rsidRDefault="0044751E">
            <w:pPr>
              <w:tabs>
                <w:tab w:val="left" w:pos="2700"/>
              </w:tabs>
              <w:jc w:val="center"/>
              <w:rPr>
                <w:bCs/>
                <w:sz w:val="20"/>
                <w:szCs w:val="20"/>
              </w:rPr>
            </w:pPr>
            <w:r w:rsidRPr="00A561E1">
              <w:rPr>
                <w:bCs/>
                <w:sz w:val="20"/>
                <w:szCs w:val="20"/>
              </w:rPr>
              <w:t>3-100</w:t>
            </w:r>
          </w:p>
        </w:tc>
        <w:tc>
          <w:tcPr>
            <w:tcW w:w="5328" w:type="dxa"/>
            <w:tcBorders>
              <w:bottom w:val="single" w:sz="4" w:space="0" w:color="auto"/>
            </w:tcBorders>
          </w:tcPr>
          <w:p w:rsidR="0044751E" w:rsidRPr="00A561E1" w:rsidRDefault="0044751E">
            <w:pPr>
              <w:tabs>
                <w:tab w:val="left" w:pos="2700"/>
              </w:tabs>
              <w:jc w:val="left"/>
              <w:rPr>
                <w:b/>
                <w:bCs/>
                <w:sz w:val="20"/>
                <w:szCs w:val="20"/>
              </w:rPr>
            </w:pPr>
            <w:r w:rsidRPr="00A561E1">
              <w:rPr>
                <w:b/>
                <w:bCs/>
                <w:sz w:val="20"/>
                <w:szCs w:val="20"/>
              </w:rPr>
              <w:t>Potential Change Orders – Stations</w:t>
            </w:r>
          </w:p>
          <w:p w:rsidR="0044751E" w:rsidRPr="00A561E1" w:rsidRDefault="0044751E">
            <w:pPr>
              <w:tabs>
                <w:tab w:val="left" w:pos="2700"/>
              </w:tabs>
              <w:jc w:val="left"/>
              <w:rPr>
                <w:bCs/>
                <w:sz w:val="20"/>
                <w:szCs w:val="20"/>
              </w:rPr>
            </w:pPr>
            <w:r w:rsidRPr="00A561E1">
              <w:rPr>
                <w:bCs/>
                <w:sz w:val="20"/>
                <w:szCs w:val="20"/>
              </w:rPr>
              <w:t>Continue to utilize the mitigation strategies indicated in the April 2005 Recovery Plan.</w:t>
            </w:r>
          </w:p>
        </w:tc>
        <w:tc>
          <w:tcPr>
            <w:tcW w:w="1440" w:type="dxa"/>
          </w:tcPr>
          <w:p w:rsidR="0044751E" w:rsidRPr="00A561E1" w:rsidRDefault="0044751E">
            <w:pPr>
              <w:jc w:val="right"/>
              <w:rPr>
                <w:sz w:val="20"/>
                <w:szCs w:val="20"/>
              </w:rPr>
            </w:pPr>
            <w:r w:rsidRPr="00A561E1">
              <w:rPr>
                <w:sz w:val="20"/>
                <w:szCs w:val="20"/>
              </w:rPr>
              <w:t>$1.39</w:t>
            </w:r>
          </w:p>
        </w:tc>
        <w:tc>
          <w:tcPr>
            <w:tcW w:w="1440" w:type="dxa"/>
          </w:tcPr>
          <w:p w:rsidR="0044751E" w:rsidRPr="00A561E1" w:rsidRDefault="002B0290">
            <w:pPr>
              <w:jc w:val="right"/>
              <w:rPr>
                <w:bCs/>
                <w:sz w:val="20"/>
                <w:szCs w:val="20"/>
              </w:rPr>
            </w:pPr>
            <w:r w:rsidRPr="00A561E1">
              <w:rPr>
                <w:bCs/>
                <w:sz w:val="20"/>
                <w:szCs w:val="20"/>
              </w:rPr>
              <w:t>6</w:t>
            </w:r>
            <w:r w:rsidR="0044751E" w:rsidRPr="00A561E1">
              <w:rPr>
                <w:bCs/>
                <w:sz w:val="20"/>
                <w:szCs w:val="20"/>
              </w:rPr>
              <w:t>0%</w:t>
            </w:r>
          </w:p>
        </w:tc>
      </w:tr>
      <w:tr w:rsidR="0044751E" w:rsidRPr="00A561E1">
        <w:trPr>
          <w:cantSplit/>
          <w:trHeight w:val="80"/>
          <w:jc w:val="center"/>
        </w:trPr>
        <w:tc>
          <w:tcPr>
            <w:tcW w:w="1008" w:type="dxa"/>
            <w:tcBorders>
              <w:right w:val="nil"/>
            </w:tcBorders>
          </w:tcPr>
          <w:p w:rsidR="0044751E" w:rsidRPr="00A561E1" w:rsidRDefault="0044751E">
            <w:pPr>
              <w:tabs>
                <w:tab w:val="left" w:pos="2700"/>
              </w:tabs>
              <w:jc w:val="center"/>
              <w:rPr>
                <w:b/>
                <w:bCs/>
                <w:sz w:val="20"/>
                <w:szCs w:val="20"/>
              </w:rPr>
            </w:pPr>
            <w:r w:rsidRPr="00A561E1">
              <w:rPr>
                <w:b/>
                <w:bCs/>
                <w:sz w:val="20"/>
                <w:szCs w:val="20"/>
              </w:rPr>
              <w:t>TOTAL</w:t>
            </w:r>
          </w:p>
        </w:tc>
        <w:tc>
          <w:tcPr>
            <w:tcW w:w="5328" w:type="dxa"/>
            <w:tcBorders>
              <w:left w:val="nil"/>
            </w:tcBorders>
          </w:tcPr>
          <w:p w:rsidR="0044751E" w:rsidRPr="00A561E1" w:rsidRDefault="0044751E">
            <w:pPr>
              <w:tabs>
                <w:tab w:val="left" w:pos="2700"/>
              </w:tabs>
              <w:rPr>
                <w:b/>
                <w:bCs/>
                <w:sz w:val="20"/>
                <w:szCs w:val="20"/>
              </w:rPr>
            </w:pPr>
          </w:p>
        </w:tc>
        <w:tc>
          <w:tcPr>
            <w:tcW w:w="1440" w:type="dxa"/>
          </w:tcPr>
          <w:p w:rsidR="0044751E" w:rsidRPr="00A561E1" w:rsidRDefault="0044751E">
            <w:pPr>
              <w:jc w:val="right"/>
              <w:rPr>
                <w:b/>
                <w:sz w:val="20"/>
                <w:szCs w:val="20"/>
              </w:rPr>
            </w:pPr>
            <w:r w:rsidRPr="00A561E1">
              <w:rPr>
                <w:b/>
                <w:sz w:val="20"/>
                <w:szCs w:val="20"/>
              </w:rPr>
              <w:t>$53.15</w:t>
            </w:r>
          </w:p>
        </w:tc>
        <w:tc>
          <w:tcPr>
            <w:tcW w:w="1440" w:type="dxa"/>
          </w:tcPr>
          <w:p w:rsidR="0044751E" w:rsidRPr="00A561E1" w:rsidRDefault="0044751E">
            <w:pPr>
              <w:jc w:val="right"/>
              <w:rPr>
                <w:b/>
                <w:bCs/>
                <w:sz w:val="20"/>
                <w:szCs w:val="20"/>
              </w:rPr>
            </w:pPr>
          </w:p>
        </w:tc>
      </w:tr>
    </w:tbl>
    <w:p w:rsidR="0044751E" w:rsidRPr="00A561E1" w:rsidRDefault="0044751E">
      <w:pPr>
        <w:rPr>
          <w:sz w:val="20"/>
          <w:szCs w:val="20"/>
        </w:rPr>
      </w:pPr>
      <w:r w:rsidRPr="00A561E1">
        <w:rPr>
          <w:sz w:val="20"/>
          <w:szCs w:val="20"/>
          <w:vertAlign w:val="superscript"/>
        </w:rPr>
        <w:t>1</w:t>
      </w:r>
      <w:r w:rsidRPr="00A561E1">
        <w:rPr>
          <w:sz w:val="20"/>
          <w:szCs w:val="20"/>
        </w:rPr>
        <w:t>Percent complete is 100% because Final Settlement Agreement was executed in May 2007.  The agreement contains two parts: (1) $12.2M for resolution of inefficiency damages; and (2) $3.3M for constructive acceleration to meet NCTD’s target ROD of December 2007.  Although NCTD’s EAC includes full payment for these two items, the contractor must meet all requirements of the Final Settlement Agreement to be eligible to receive payment.</w:t>
      </w:r>
    </w:p>
    <w:p w:rsidR="0044751E" w:rsidRPr="00A561E1" w:rsidRDefault="0044751E"/>
    <w:p w:rsidR="0044751E" w:rsidRPr="00A561E1" w:rsidRDefault="0044751E">
      <w:r w:rsidRPr="00A561E1">
        <w:t xml:space="preserve">In Spot Report </w:t>
      </w:r>
      <w:smartTag w:uri="urn:schemas-microsoft-com:office:smarttags" w:element="PersonName">
        <w:r w:rsidRPr="00A561E1">
          <w:t>#</w:t>
        </w:r>
      </w:smartTag>
      <w:r w:rsidRPr="00A561E1">
        <w:t>9, the PMOC noted that the likely project cost (including required allocated and unallocated contingencies) was $471.6M for the 50</w:t>
      </w:r>
      <w:r w:rsidRPr="00A561E1">
        <w:rPr>
          <w:vertAlign w:val="superscript"/>
        </w:rPr>
        <w:t>th</w:t>
      </w:r>
      <w:r w:rsidRPr="00A561E1">
        <w:t xml:space="preserve"> percentile and $484.1M for the 80</w:t>
      </w:r>
      <w:r w:rsidRPr="00A561E1">
        <w:rPr>
          <w:vertAlign w:val="superscript"/>
        </w:rPr>
        <w:t>th</w:t>
      </w:r>
      <w:r w:rsidRPr="00A561E1">
        <w:t xml:space="preserve"> percentile level of confidence, before mitigation.</w:t>
      </w:r>
      <w:r w:rsidR="007D0D89" w:rsidRPr="00A561E1">
        <w:t xml:space="preserve">  </w:t>
      </w:r>
      <w:r w:rsidR="00E86A27" w:rsidRPr="00A561E1">
        <w:t xml:space="preserve">This analysis assumed that NCTD </w:t>
      </w:r>
      <w:r w:rsidR="007D0D89" w:rsidRPr="00A561E1">
        <w:t xml:space="preserve">effectively </w:t>
      </w:r>
      <w:r w:rsidR="00C72DE8" w:rsidRPr="00A561E1">
        <w:t xml:space="preserve">and diligently </w:t>
      </w:r>
      <w:r w:rsidR="007D0D89" w:rsidRPr="00A561E1">
        <w:t>manage</w:t>
      </w:r>
      <w:r w:rsidR="00E86A27" w:rsidRPr="00A561E1">
        <w:t xml:space="preserve">d the remaining </w:t>
      </w:r>
      <w:r w:rsidR="007D0D89" w:rsidRPr="00A561E1">
        <w:t>risks</w:t>
      </w:r>
      <w:r w:rsidR="00E86A27" w:rsidRPr="00A561E1">
        <w:t>.</w:t>
      </w:r>
    </w:p>
    <w:p w:rsidR="0044751E" w:rsidRPr="00A561E1" w:rsidRDefault="0044751E"/>
    <w:p w:rsidR="0044751E" w:rsidRPr="00A561E1" w:rsidRDefault="007D0D89">
      <w:r w:rsidRPr="00A561E1">
        <w:t xml:space="preserve">On </w:t>
      </w:r>
      <w:smartTag w:uri="urn:schemas-microsoft-com:office:smarttags" w:element="date">
        <w:smartTagPr>
          <w:attr w:name="Month" w:val="7"/>
          <w:attr w:name="Day" w:val="7"/>
          <w:attr w:name="Year" w:val="2006"/>
        </w:smartTagPr>
        <w:r w:rsidRPr="00A561E1">
          <w:t>July 7, 2006</w:t>
        </w:r>
      </w:smartTag>
      <w:r w:rsidRPr="00A561E1">
        <w:t xml:space="preserve">, </w:t>
      </w:r>
      <w:r w:rsidR="0044751E" w:rsidRPr="00A561E1">
        <w:t>FTA requir</w:t>
      </w:r>
      <w:r w:rsidRPr="00A561E1">
        <w:t>ed NCTD to develop an Amended Recovery Plan</w:t>
      </w:r>
      <w:r w:rsidR="00DC654F" w:rsidRPr="00A561E1">
        <w:t xml:space="preserve">.  NCTD submitted the final </w:t>
      </w:r>
      <w:r w:rsidR="0044751E" w:rsidRPr="00A561E1">
        <w:t xml:space="preserve">ARP on </w:t>
      </w:r>
      <w:smartTag w:uri="urn:schemas-microsoft-com:office:smarttags" w:element="date">
        <w:smartTagPr>
          <w:attr w:name="Month" w:val="9"/>
          <w:attr w:name="Day" w:val="15"/>
          <w:attr w:name="Year" w:val="2006"/>
        </w:smartTagPr>
        <w:r w:rsidR="0044751E" w:rsidRPr="00A561E1">
          <w:t>September 15, 2006</w:t>
        </w:r>
      </w:smartTag>
      <w:r w:rsidR="0044751E" w:rsidRPr="00A561E1">
        <w:t xml:space="preserve"> that identified </w:t>
      </w:r>
      <w:r w:rsidR="00C23FF7" w:rsidRPr="00A561E1">
        <w:t xml:space="preserve">a budget </w:t>
      </w:r>
      <w:r w:rsidR="0044751E" w:rsidRPr="00A561E1">
        <w:t xml:space="preserve">of $484.1M.  The budget </w:t>
      </w:r>
      <w:r w:rsidRPr="00A561E1">
        <w:t xml:space="preserve">increase </w:t>
      </w:r>
      <w:r w:rsidR="0044751E" w:rsidRPr="00A561E1">
        <w:t>is to be covered entirely by local funds</w:t>
      </w:r>
      <w:r w:rsidRPr="00A561E1">
        <w:t xml:space="preserve">. </w:t>
      </w:r>
      <w:r w:rsidR="0044751E" w:rsidRPr="00A561E1">
        <w:t xml:space="preserve">The ARP budget was based on a ROD of </w:t>
      </w:r>
      <w:smartTag w:uri="urn:schemas-microsoft-com:office:smarttags" w:element="date">
        <w:smartTagPr>
          <w:attr w:name="Month" w:val="7"/>
          <w:attr w:name="Day" w:val="1"/>
          <w:attr w:name="Year" w:val="2008"/>
        </w:smartTagPr>
        <w:r w:rsidR="0044751E" w:rsidRPr="00A561E1">
          <w:t>July 1, 2008</w:t>
        </w:r>
      </w:smartTag>
      <w:r w:rsidR="0044751E" w:rsidRPr="00A561E1">
        <w:t>.  However, the ARP indicated that NCTD was working towards a revenue service date of December 2007.  The PMOC</w:t>
      </w:r>
      <w:r w:rsidRPr="00A561E1">
        <w:t>’s S</w:t>
      </w:r>
      <w:r w:rsidR="00DC654F" w:rsidRPr="00A561E1">
        <w:t xml:space="preserve">pot Report </w:t>
      </w:r>
      <w:smartTag w:uri="urn:schemas-microsoft-com:office:smarttags" w:element="PersonName">
        <w:r w:rsidR="00DC654F" w:rsidRPr="00A561E1">
          <w:t>#</w:t>
        </w:r>
      </w:smartTag>
      <w:r w:rsidR="00DC654F" w:rsidRPr="00A561E1">
        <w:t xml:space="preserve">9 </w:t>
      </w:r>
      <w:r w:rsidR="0044751E" w:rsidRPr="00A561E1">
        <w:t xml:space="preserve">on </w:t>
      </w:r>
      <w:smartTag w:uri="urn:schemas-microsoft-com:office:smarttags" w:element="date">
        <w:smartTagPr>
          <w:attr w:name="Month" w:val="10"/>
          <w:attr w:name="Day" w:val="18"/>
          <w:attr w:name="Year" w:val="2006"/>
        </w:smartTagPr>
        <w:r w:rsidR="0044751E" w:rsidRPr="00A561E1">
          <w:t>October 18, 2006</w:t>
        </w:r>
      </w:smartTag>
      <w:r w:rsidR="0044751E" w:rsidRPr="00A561E1">
        <w:t xml:space="preserve"> recommended approval of the ARP.  FTA formally approved the ARP on </w:t>
      </w:r>
      <w:smartTag w:uri="urn:schemas-microsoft-com:office:smarttags" w:element="date">
        <w:smartTagPr>
          <w:attr w:name="Month" w:val="12"/>
          <w:attr w:name="Day" w:val="11"/>
          <w:attr w:name="Year" w:val="2006"/>
        </w:smartTagPr>
        <w:r w:rsidR="0044751E" w:rsidRPr="00A561E1">
          <w:t>December 11, 2006</w:t>
        </w:r>
      </w:smartTag>
      <w:r w:rsidR="0044751E" w:rsidRPr="00A561E1">
        <w:t>.  The FTA also directed NCTD to begin reporting all cost information against the $484.1M</w:t>
      </w:r>
      <w:r w:rsidR="004E597D" w:rsidRPr="00A561E1">
        <w:t xml:space="preserve"> budget</w:t>
      </w:r>
      <w:r w:rsidR="0044751E" w:rsidRPr="00A561E1">
        <w:t>.</w:t>
      </w:r>
    </w:p>
    <w:p w:rsidR="0044751E" w:rsidRPr="00A561E1" w:rsidRDefault="0044751E"/>
    <w:p w:rsidR="0044751E" w:rsidRPr="00A561E1" w:rsidRDefault="0044751E">
      <w:pPr>
        <w:pStyle w:val="Heading3"/>
      </w:pPr>
      <w:bookmarkStart w:id="58" w:name="_Toc186615026"/>
      <w:r w:rsidRPr="00A561E1">
        <w:t>Budget</w:t>
      </w:r>
      <w:bookmarkEnd w:id="58"/>
    </w:p>
    <w:p w:rsidR="0044751E" w:rsidRPr="00A561E1" w:rsidRDefault="0044751E">
      <w:r w:rsidRPr="00A561E1">
        <w:t>Section 1 of the ARP included a $484.1M</w:t>
      </w:r>
      <w:r w:rsidR="004E597D" w:rsidRPr="00A561E1">
        <w:t xml:space="preserve"> budget</w:t>
      </w:r>
      <w:r w:rsidRPr="00A561E1">
        <w:t>, which matched the 80</w:t>
      </w:r>
      <w:r w:rsidRPr="00A561E1">
        <w:rPr>
          <w:vertAlign w:val="superscript"/>
        </w:rPr>
        <w:t>th</w:t>
      </w:r>
      <w:r w:rsidRPr="00A561E1">
        <w:t xml:space="preserve"> percentile unmitigated level of confidence as determined by the PMOC’s </w:t>
      </w:r>
      <w:r w:rsidR="008E1761">
        <w:t xml:space="preserve">2006 </w:t>
      </w:r>
      <w:r w:rsidR="000B1812" w:rsidRPr="00A561E1">
        <w:t xml:space="preserve">Cost </w:t>
      </w:r>
      <w:r w:rsidRPr="00A561E1">
        <w:t xml:space="preserve">Risk Assessment as included in Spot Report #9.  </w:t>
      </w:r>
      <w:r w:rsidR="001D4993" w:rsidRPr="00A561E1">
        <w:t xml:space="preserve">NCTD’s current Estimate at Completion (EAC) is $477.6M and is based on the </w:t>
      </w:r>
      <w:smartTag w:uri="urn:schemas-microsoft-com:office:smarttags" w:element="date">
        <w:smartTagPr>
          <w:attr w:name="Month" w:val="7"/>
          <w:attr w:name="Day" w:val="1"/>
          <w:attr w:name="Year" w:val="2008"/>
        </w:smartTagPr>
        <w:r w:rsidR="001D4993" w:rsidRPr="00A561E1">
          <w:t>July 1, 2008</w:t>
        </w:r>
      </w:smartTag>
      <w:r w:rsidR="001D4993" w:rsidRPr="00A561E1">
        <w:t xml:space="preserve"> ROD.</w:t>
      </w:r>
    </w:p>
    <w:p w:rsidR="0044751E" w:rsidRPr="00A561E1" w:rsidRDefault="0044751E"/>
    <w:p w:rsidR="0044751E" w:rsidRPr="00A561E1" w:rsidRDefault="0044751E">
      <w:r w:rsidRPr="00A561E1">
        <w:t xml:space="preserve">A workshop was held </w:t>
      </w:r>
      <w:smartTag w:uri="urn:schemas-microsoft-com:office:smarttags" w:element="date">
        <w:smartTagPr>
          <w:attr w:name="Month" w:val="8"/>
          <w:attr w:name="Day" w:val="1"/>
          <w:attr w:name="Year" w:val="2007"/>
        </w:smartTagPr>
        <w:r w:rsidRPr="00A561E1">
          <w:t>August 1, 2007</w:t>
        </w:r>
      </w:smartTag>
      <w:r w:rsidRPr="00A561E1">
        <w:t xml:space="preserve"> to discuss the status of NCTD’s EAC.  The workshop included representatives from FTA, NCTD, the CM, SANDAG, and the PMOC.  The purpose of the workshop was to provide all stakeholders with a full understanding of how the EAC is compiled each month and confirm the remaining balances of both the unallocated and allocated contingencies.  Following the workshop and subsequent follow-up reviews, the PMOC </w:t>
      </w:r>
      <w:r w:rsidR="008E1761">
        <w:t xml:space="preserve">prepared the 2007 </w:t>
      </w:r>
      <w:r w:rsidR="00DC654F" w:rsidRPr="00A561E1">
        <w:t>Cost Risk Assessment</w:t>
      </w:r>
      <w:r w:rsidRPr="00A561E1">
        <w:t xml:space="preserve"> for the project.</w:t>
      </w:r>
    </w:p>
    <w:p w:rsidR="0044751E" w:rsidRPr="00A561E1" w:rsidRDefault="0044751E"/>
    <w:p w:rsidR="0044751E" w:rsidRPr="00A561E1" w:rsidRDefault="0044751E">
      <w:r w:rsidRPr="00A561E1">
        <w:t xml:space="preserve">The PMOC used NCTD’s </w:t>
      </w:r>
      <w:r w:rsidR="00B55B66" w:rsidRPr="00A561E1">
        <w:t>September 2007</w:t>
      </w:r>
      <w:r w:rsidR="00B55B66">
        <w:t xml:space="preserve"> </w:t>
      </w:r>
      <w:r w:rsidRPr="00A561E1">
        <w:t>EAC</w:t>
      </w:r>
      <w:r w:rsidR="00B55B66">
        <w:t xml:space="preserve">, </w:t>
      </w:r>
      <w:r w:rsidRPr="00A561E1">
        <w:t xml:space="preserve">stripped all contingency (allocated and unallocated), and applied reasonable ranges for any remaining risks.  It should be noted that the mean risk for many of the previous Top Ten Risks is now less than $1M at this phase of the project although many of the activities identified in NCTD’s Risk Mitigation Plan are still ongoing.  This is a product of the milestones identified in the Risk Mitigation and Management Plan.  It is important to understand that </w:t>
      </w:r>
      <w:r w:rsidR="00DC5C31">
        <w:t>the 2007</w:t>
      </w:r>
      <w:r w:rsidRPr="00A561E1">
        <w:t xml:space="preserve"> </w:t>
      </w:r>
      <w:r w:rsidR="00DC654F" w:rsidRPr="00A561E1">
        <w:t xml:space="preserve">Cost Risk Assessment </w:t>
      </w:r>
      <w:r w:rsidRPr="00A561E1">
        <w:t>is based on the following assumptions:</w:t>
      </w:r>
    </w:p>
    <w:p w:rsidR="0044751E" w:rsidRPr="00A561E1" w:rsidRDefault="0044751E"/>
    <w:p w:rsidR="0044751E" w:rsidRPr="00A561E1" w:rsidRDefault="0044751E" w:rsidP="0010195A">
      <w:pPr>
        <w:numPr>
          <w:ilvl w:val="0"/>
          <w:numId w:val="2"/>
        </w:numPr>
        <w:tabs>
          <w:tab w:val="clear" w:pos="360"/>
          <w:tab w:val="num" w:pos="720"/>
        </w:tabs>
        <w:ind w:left="720"/>
      </w:pPr>
      <w:r w:rsidRPr="00A561E1">
        <w:t>ROD will occur one to three months past the NCTD Target date of December 2007.</w:t>
      </w:r>
    </w:p>
    <w:p w:rsidR="0044751E" w:rsidRPr="00A561E1" w:rsidRDefault="0044751E" w:rsidP="0010195A">
      <w:pPr>
        <w:numPr>
          <w:ilvl w:val="0"/>
          <w:numId w:val="2"/>
        </w:numPr>
        <w:tabs>
          <w:tab w:val="clear" w:pos="360"/>
          <w:tab w:val="num" w:pos="720"/>
        </w:tabs>
        <w:ind w:left="720"/>
      </w:pPr>
      <w:r w:rsidRPr="00A561E1">
        <w:t>The Mainline and Stations Contractor will complete all non-revenue related work around March 2008.</w:t>
      </w:r>
    </w:p>
    <w:p w:rsidR="0044751E" w:rsidRPr="00A561E1" w:rsidRDefault="0044751E" w:rsidP="0010195A">
      <w:pPr>
        <w:numPr>
          <w:ilvl w:val="0"/>
          <w:numId w:val="2"/>
        </w:numPr>
        <w:tabs>
          <w:tab w:val="clear" w:pos="360"/>
          <w:tab w:val="num" w:pos="720"/>
        </w:tabs>
        <w:ind w:left="720"/>
      </w:pPr>
      <w:r w:rsidRPr="00A561E1">
        <w:t xml:space="preserve">Closeout of all contracts will be completed by the end </w:t>
      </w:r>
      <w:r w:rsidR="005F216C" w:rsidRPr="00A561E1">
        <w:t xml:space="preserve">of </w:t>
      </w:r>
      <w:r w:rsidRPr="00A561E1">
        <w:t>2008 resulting in little to no significant Project Administration and Construction Management expenditures beyond that date.</w:t>
      </w:r>
    </w:p>
    <w:p w:rsidR="0044751E" w:rsidRPr="00A561E1" w:rsidRDefault="0044751E" w:rsidP="0010195A">
      <w:pPr>
        <w:numPr>
          <w:ilvl w:val="0"/>
          <w:numId w:val="2"/>
        </w:numPr>
        <w:tabs>
          <w:tab w:val="clear" w:pos="360"/>
          <w:tab w:val="num" w:pos="720"/>
        </w:tabs>
        <w:ind w:left="720"/>
      </w:pPr>
      <w:r w:rsidRPr="00A561E1">
        <w:t>If the ROD extends beyond the one to three month timeframe, NCTD will assess liquidated damages according to the terms of the Final Settlement Agreement if deemed applicable with no concurrent delays identified.</w:t>
      </w:r>
    </w:p>
    <w:p w:rsidR="0044751E" w:rsidRPr="00A561E1" w:rsidRDefault="0044751E"/>
    <w:p w:rsidR="0044751E" w:rsidRPr="00A561E1" w:rsidRDefault="0044751E">
      <w:r w:rsidRPr="00A561E1">
        <w:t xml:space="preserve">The result of this analysis indicated that the ARP </w:t>
      </w:r>
      <w:r w:rsidR="004E597D" w:rsidRPr="00A561E1">
        <w:t xml:space="preserve">budget </w:t>
      </w:r>
      <w:r w:rsidRPr="00A561E1">
        <w:t xml:space="preserve">of $484.1M had </w:t>
      </w:r>
      <w:r w:rsidR="00182873" w:rsidRPr="00A561E1">
        <w:t>an</w:t>
      </w:r>
      <w:r w:rsidRPr="00A561E1">
        <w:t xml:space="preserve"> </w:t>
      </w:r>
      <w:r w:rsidR="00DE0036" w:rsidRPr="00A561E1">
        <w:t>89</w:t>
      </w:r>
      <w:r w:rsidRPr="00A561E1">
        <w:t xml:space="preserve">% probability of being achieved.  </w:t>
      </w:r>
      <w:r w:rsidR="00DE0036" w:rsidRPr="00A561E1">
        <w:t>The</w:t>
      </w:r>
      <w:r w:rsidRPr="00A561E1">
        <w:t xml:space="preserve"> results of the </w:t>
      </w:r>
      <w:r w:rsidR="00F03D17">
        <w:t xml:space="preserve">2007 </w:t>
      </w:r>
      <w:r w:rsidR="00DC654F" w:rsidRPr="00A561E1">
        <w:t xml:space="preserve">Cost Risk Assessment </w:t>
      </w:r>
      <w:r w:rsidRPr="00A561E1">
        <w:t xml:space="preserve">(as outlined in Table 4 and Figure 1) also indicated that NCTD does have sufficient funds in their $484.1M budget </w:t>
      </w:r>
      <w:r w:rsidR="00DE0036" w:rsidRPr="00A561E1">
        <w:t>if the ROD extends to July 2008</w:t>
      </w:r>
      <w:r w:rsidR="00216DF3" w:rsidRPr="00A561E1">
        <w:t>.  This is predicated</w:t>
      </w:r>
      <w:r w:rsidR="001D5AE2" w:rsidRPr="00A561E1">
        <w:t xml:space="preserve"> on </w:t>
      </w:r>
      <w:r w:rsidR="00DE0036" w:rsidRPr="00A561E1">
        <w:t>NCTD aggressively manag</w:t>
      </w:r>
      <w:r w:rsidR="001D5AE2" w:rsidRPr="00A561E1">
        <w:t xml:space="preserve">ing </w:t>
      </w:r>
      <w:r w:rsidR="00DE0036" w:rsidRPr="00A561E1">
        <w:t>all remaining risks</w:t>
      </w:r>
      <w:r w:rsidR="005F216C" w:rsidRPr="00A561E1">
        <w:t xml:space="preserve"> and successfully complet</w:t>
      </w:r>
      <w:r w:rsidR="001D5AE2" w:rsidRPr="00A561E1">
        <w:t xml:space="preserve">ing </w:t>
      </w:r>
      <w:r w:rsidR="005F216C" w:rsidRPr="00A561E1">
        <w:t xml:space="preserve">the project according to the assumptions on which the </w:t>
      </w:r>
      <w:r w:rsidR="00DC5C31">
        <w:t xml:space="preserve">2007 </w:t>
      </w:r>
      <w:r w:rsidR="005F216C" w:rsidRPr="00A561E1">
        <w:t>Cost Risk Assessment is based.</w:t>
      </w:r>
    </w:p>
    <w:p w:rsidR="0044751E" w:rsidRPr="00A561E1" w:rsidRDefault="0044751E"/>
    <w:p w:rsidR="0044751E" w:rsidRPr="00A561E1" w:rsidRDefault="0044751E">
      <w:pPr>
        <w:pStyle w:val="Caption"/>
      </w:pPr>
      <w:bookmarkStart w:id="59" w:name="_Toc186615053"/>
      <w:r w:rsidRPr="00A561E1">
        <w:t xml:space="preserve">Table </w:t>
      </w:r>
      <w:fldSimple w:instr=" SEQ Table \* ARABIC ">
        <w:r w:rsidR="00F01E8C">
          <w:rPr>
            <w:noProof/>
          </w:rPr>
          <w:t>4</w:t>
        </w:r>
      </w:fldSimple>
      <w:r w:rsidRPr="00A561E1">
        <w:t>.</w:t>
      </w:r>
      <w:r w:rsidRPr="00A561E1">
        <w:tab/>
      </w:r>
      <w:r w:rsidR="006269C2" w:rsidRPr="00A561E1">
        <w:t xml:space="preserve">2007 Top Five </w:t>
      </w:r>
      <w:r w:rsidRPr="00A561E1">
        <w:t>Risk</w:t>
      </w:r>
      <w:r w:rsidR="006269C2" w:rsidRPr="00A561E1">
        <w:t>s</w:t>
      </w:r>
      <w:bookmarkEnd w:id="59"/>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5415"/>
        <w:gridCol w:w="1463"/>
        <w:gridCol w:w="1463"/>
      </w:tblGrid>
      <w:tr w:rsidR="006269C2" w:rsidRPr="00A561E1">
        <w:trPr>
          <w:jc w:val="center"/>
        </w:trPr>
        <w:tc>
          <w:tcPr>
            <w:tcW w:w="1002" w:type="dxa"/>
            <w:tcBorders>
              <w:top w:val="single" w:sz="4" w:space="0" w:color="auto"/>
              <w:bottom w:val="single" w:sz="4" w:space="0" w:color="auto"/>
            </w:tcBorders>
            <w:vAlign w:val="center"/>
          </w:tcPr>
          <w:p w:rsidR="006269C2" w:rsidRPr="00A561E1" w:rsidRDefault="006269C2">
            <w:pPr>
              <w:keepNext/>
              <w:jc w:val="center"/>
              <w:rPr>
                <w:b/>
                <w:sz w:val="20"/>
                <w:szCs w:val="20"/>
              </w:rPr>
            </w:pPr>
            <w:r w:rsidRPr="00A561E1">
              <w:rPr>
                <w:b/>
                <w:sz w:val="20"/>
                <w:szCs w:val="20"/>
              </w:rPr>
              <w:t>Risk</w:t>
            </w:r>
            <w:r w:rsidR="00464F0E" w:rsidRPr="00A561E1">
              <w:rPr>
                <w:b/>
                <w:sz w:val="20"/>
                <w:szCs w:val="20"/>
              </w:rPr>
              <w:t xml:space="preserve"> No.</w:t>
            </w:r>
          </w:p>
        </w:tc>
        <w:tc>
          <w:tcPr>
            <w:tcW w:w="5328" w:type="dxa"/>
            <w:tcBorders>
              <w:top w:val="single" w:sz="4" w:space="0" w:color="auto"/>
              <w:bottom w:val="single" w:sz="4" w:space="0" w:color="auto"/>
            </w:tcBorders>
            <w:vAlign w:val="center"/>
          </w:tcPr>
          <w:p w:rsidR="006269C2" w:rsidRPr="00A561E1" w:rsidRDefault="006269C2">
            <w:pPr>
              <w:keepNext/>
              <w:jc w:val="center"/>
              <w:rPr>
                <w:b/>
                <w:sz w:val="20"/>
                <w:szCs w:val="20"/>
              </w:rPr>
            </w:pPr>
            <w:r w:rsidRPr="00A561E1">
              <w:rPr>
                <w:b/>
                <w:sz w:val="20"/>
                <w:szCs w:val="20"/>
              </w:rPr>
              <w:t>Risk Description</w:t>
            </w:r>
          </w:p>
        </w:tc>
        <w:tc>
          <w:tcPr>
            <w:tcW w:w="1440" w:type="dxa"/>
            <w:tcBorders>
              <w:top w:val="single" w:sz="4" w:space="0" w:color="auto"/>
              <w:bottom w:val="single" w:sz="4" w:space="0" w:color="auto"/>
            </w:tcBorders>
            <w:vAlign w:val="center"/>
          </w:tcPr>
          <w:p w:rsidR="006269C2" w:rsidRPr="00A561E1" w:rsidRDefault="006269C2">
            <w:pPr>
              <w:keepNext/>
              <w:jc w:val="center"/>
              <w:rPr>
                <w:b/>
                <w:sz w:val="20"/>
                <w:szCs w:val="20"/>
              </w:rPr>
            </w:pPr>
            <w:r w:rsidRPr="00A561E1">
              <w:rPr>
                <w:b/>
                <w:sz w:val="20"/>
                <w:szCs w:val="20"/>
              </w:rPr>
              <w:t>Expected Value (M)</w:t>
            </w:r>
          </w:p>
        </w:tc>
        <w:tc>
          <w:tcPr>
            <w:tcW w:w="1440" w:type="dxa"/>
            <w:tcBorders>
              <w:top w:val="single" w:sz="4" w:space="0" w:color="auto"/>
              <w:bottom w:val="single" w:sz="4" w:space="0" w:color="auto"/>
            </w:tcBorders>
          </w:tcPr>
          <w:p w:rsidR="006269C2" w:rsidRPr="00A561E1" w:rsidRDefault="006269C2">
            <w:pPr>
              <w:keepNext/>
              <w:jc w:val="center"/>
              <w:rPr>
                <w:b/>
                <w:sz w:val="20"/>
                <w:szCs w:val="20"/>
              </w:rPr>
            </w:pPr>
            <w:r w:rsidRPr="00A561E1">
              <w:rPr>
                <w:b/>
                <w:bCs/>
                <w:sz w:val="20"/>
                <w:szCs w:val="20"/>
              </w:rPr>
              <w:t xml:space="preserve">% Complete Through </w:t>
            </w:r>
            <w:r w:rsidR="004B4F77" w:rsidRPr="00A561E1">
              <w:rPr>
                <w:b/>
                <w:bCs/>
                <w:sz w:val="20"/>
                <w:szCs w:val="20"/>
              </w:rPr>
              <w:t>November</w:t>
            </w:r>
            <w:r w:rsidRPr="00A561E1">
              <w:rPr>
                <w:b/>
                <w:bCs/>
                <w:sz w:val="20"/>
                <w:szCs w:val="20"/>
              </w:rPr>
              <w:t xml:space="preserve">  2007</w:t>
            </w:r>
          </w:p>
        </w:tc>
      </w:tr>
      <w:tr w:rsidR="006269C2" w:rsidRPr="00A561E1">
        <w:trPr>
          <w:jc w:val="center"/>
        </w:trPr>
        <w:tc>
          <w:tcPr>
            <w:tcW w:w="1002" w:type="dxa"/>
            <w:tcBorders>
              <w:top w:val="single" w:sz="4" w:space="0" w:color="auto"/>
            </w:tcBorders>
          </w:tcPr>
          <w:p w:rsidR="006269C2" w:rsidRPr="00A561E1" w:rsidRDefault="006269C2">
            <w:pPr>
              <w:keepNext/>
              <w:jc w:val="center"/>
              <w:rPr>
                <w:sz w:val="20"/>
                <w:szCs w:val="20"/>
              </w:rPr>
            </w:pPr>
            <w:r w:rsidRPr="00A561E1">
              <w:rPr>
                <w:sz w:val="20"/>
                <w:szCs w:val="20"/>
              </w:rPr>
              <w:t>2-100</w:t>
            </w:r>
          </w:p>
        </w:tc>
        <w:tc>
          <w:tcPr>
            <w:tcW w:w="5328" w:type="dxa"/>
            <w:tcBorders>
              <w:top w:val="single" w:sz="4" w:space="0" w:color="auto"/>
            </w:tcBorders>
          </w:tcPr>
          <w:p w:rsidR="006269C2" w:rsidRPr="00A561E1" w:rsidRDefault="006269C2">
            <w:pPr>
              <w:keepNext/>
              <w:rPr>
                <w:sz w:val="20"/>
                <w:szCs w:val="20"/>
              </w:rPr>
            </w:pPr>
            <w:r w:rsidRPr="00A561E1">
              <w:rPr>
                <w:sz w:val="20"/>
                <w:szCs w:val="20"/>
              </w:rPr>
              <w:t xml:space="preserve">Potential Change Orders – </w:t>
            </w:r>
            <w:proofErr w:type="spellStart"/>
            <w:r w:rsidRPr="00A561E1">
              <w:rPr>
                <w:sz w:val="20"/>
                <w:szCs w:val="20"/>
              </w:rPr>
              <w:t>Transitway</w:t>
            </w:r>
            <w:proofErr w:type="spellEnd"/>
            <w:r w:rsidRPr="00A561E1">
              <w:rPr>
                <w:sz w:val="20"/>
                <w:szCs w:val="20"/>
              </w:rPr>
              <w:t xml:space="preserve"> construction</w:t>
            </w:r>
          </w:p>
          <w:p w:rsidR="00295C75" w:rsidRPr="00A561E1" w:rsidRDefault="00633BBA">
            <w:pPr>
              <w:keepNext/>
              <w:rPr>
                <w:i/>
                <w:sz w:val="20"/>
                <w:szCs w:val="20"/>
              </w:rPr>
            </w:pPr>
            <w:r w:rsidRPr="00A561E1">
              <w:rPr>
                <w:i/>
                <w:sz w:val="20"/>
                <w:szCs w:val="20"/>
              </w:rPr>
              <w:t>[Note:  The relatively low percent complete is based on the number of outstanding contract change orders and associated values that are yet to be resolved, including numerous quantity adjustments that are pending.]</w:t>
            </w:r>
          </w:p>
        </w:tc>
        <w:tc>
          <w:tcPr>
            <w:tcW w:w="1440" w:type="dxa"/>
            <w:tcBorders>
              <w:top w:val="single" w:sz="4" w:space="0" w:color="auto"/>
            </w:tcBorders>
          </w:tcPr>
          <w:p w:rsidR="006269C2" w:rsidRPr="00A561E1" w:rsidRDefault="006269C2">
            <w:pPr>
              <w:keepNext/>
              <w:jc w:val="right"/>
              <w:rPr>
                <w:sz w:val="20"/>
                <w:szCs w:val="20"/>
              </w:rPr>
            </w:pPr>
            <w:r w:rsidRPr="00A561E1">
              <w:rPr>
                <w:sz w:val="20"/>
                <w:szCs w:val="20"/>
              </w:rPr>
              <w:t>$7.4</w:t>
            </w:r>
          </w:p>
        </w:tc>
        <w:tc>
          <w:tcPr>
            <w:tcW w:w="1440" w:type="dxa"/>
            <w:tcBorders>
              <w:top w:val="single" w:sz="4" w:space="0" w:color="auto"/>
            </w:tcBorders>
          </w:tcPr>
          <w:p w:rsidR="006269C2" w:rsidRPr="00A561E1" w:rsidRDefault="006269C2">
            <w:pPr>
              <w:keepNext/>
              <w:jc w:val="right"/>
              <w:rPr>
                <w:sz w:val="20"/>
                <w:szCs w:val="20"/>
              </w:rPr>
            </w:pPr>
            <w:r w:rsidRPr="00A561E1">
              <w:rPr>
                <w:sz w:val="20"/>
                <w:szCs w:val="20"/>
              </w:rPr>
              <w:t>25%</w:t>
            </w:r>
          </w:p>
        </w:tc>
      </w:tr>
      <w:tr w:rsidR="006269C2" w:rsidRPr="00A561E1">
        <w:trPr>
          <w:jc w:val="center"/>
        </w:trPr>
        <w:tc>
          <w:tcPr>
            <w:tcW w:w="1002" w:type="dxa"/>
          </w:tcPr>
          <w:p w:rsidR="006269C2" w:rsidRPr="00A561E1" w:rsidRDefault="006269C2">
            <w:pPr>
              <w:keepNext/>
              <w:jc w:val="center"/>
              <w:rPr>
                <w:sz w:val="20"/>
                <w:szCs w:val="20"/>
              </w:rPr>
            </w:pPr>
            <w:r w:rsidRPr="00A561E1">
              <w:rPr>
                <w:sz w:val="20"/>
                <w:szCs w:val="20"/>
              </w:rPr>
              <w:t>5-003</w:t>
            </w:r>
          </w:p>
        </w:tc>
        <w:tc>
          <w:tcPr>
            <w:tcW w:w="5328" w:type="dxa"/>
          </w:tcPr>
          <w:p w:rsidR="006269C2" w:rsidRPr="00A561E1" w:rsidRDefault="006269C2">
            <w:pPr>
              <w:keepNext/>
              <w:rPr>
                <w:sz w:val="20"/>
                <w:szCs w:val="20"/>
              </w:rPr>
            </w:pPr>
            <w:r w:rsidRPr="00A561E1">
              <w:rPr>
                <w:bCs/>
                <w:sz w:val="20"/>
                <w:szCs w:val="20"/>
              </w:rPr>
              <w:t>Project schedule slip – Extended construction duration/additional CM</w:t>
            </w:r>
          </w:p>
        </w:tc>
        <w:tc>
          <w:tcPr>
            <w:tcW w:w="1440" w:type="dxa"/>
          </w:tcPr>
          <w:p w:rsidR="006269C2" w:rsidRPr="00A561E1" w:rsidRDefault="006269C2">
            <w:pPr>
              <w:keepNext/>
              <w:jc w:val="right"/>
              <w:rPr>
                <w:sz w:val="20"/>
                <w:szCs w:val="20"/>
              </w:rPr>
            </w:pPr>
            <w:r w:rsidRPr="00A561E1">
              <w:rPr>
                <w:sz w:val="20"/>
                <w:szCs w:val="20"/>
              </w:rPr>
              <w:t>$1.8</w:t>
            </w:r>
          </w:p>
        </w:tc>
        <w:tc>
          <w:tcPr>
            <w:tcW w:w="1440" w:type="dxa"/>
          </w:tcPr>
          <w:p w:rsidR="006269C2" w:rsidRPr="00A561E1" w:rsidRDefault="006269C2">
            <w:pPr>
              <w:keepNext/>
              <w:jc w:val="right"/>
              <w:rPr>
                <w:sz w:val="20"/>
                <w:szCs w:val="20"/>
              </w:rPr>
            </w:pPr>
            <w:r w:rsidRPr="00A561E1">
              <w:rPr>
                <w:sz w:val="20"/>
                <w:szCs w:val="20"/>
              </w:rPr>
              <w:t>25%</w:t>
            </w:r>
          </w:p>
        </w:tc>
      </w:tr>
      <w:tr w:rsidR="006269C2" w:rsidRPr="00A561E1">
        <w:trPr>
          <w:jc w:val="center"/>
        </w:trPr>
        <w:tc>
          <w:tcPr>
            <w:tcW w:w="1002" w:type="dxa"/>
          </w:tcPr>
          <w:p w:rsidR="006269C2" w:rsidRPr="00A561E1" w:rsidRDefault="006269C2">
            <w:pPr>
              <w:keepNext/>
              <w:jc w:val="center"/>
              <w:rPr>
                <w:sz w:val="20"/>
                <w:szCs w:val="20"/>
              </w:rPr>
            </w:pPr>
            <w:r w:rsidRPr="00A561E1">
              <w:rPr>
                <w:sz w:val="20"/>
                <w:szCs w:val="20"/>
              </w:rPr>
              <w:t>2-101</w:t>
            </w:r>
          </w:p>
        </w:tc>
        <w:tc>
          <w:tcPr>
            <w:tcW w:w="5328" w:type="dxa"/>
          </w:tcPr>
          <w:p w:rsidR="006269C2" w:rsidRPr="00A561E1" w:rsidRDefault="006269C2">
            <w:pPr>
              <w:keepNext/>
              <w:rPr>
                <w:sz w:val="20"/>
                <w:szCs w:val="20"/>
              </w:rPr>
            </w:pPr>
            <w:r w:rsidRPr="00A561E1">
              <w:rPr>
                <w:bCs/>
                <w:sz w:val="20"/>
                <w:szCs w:val="20"/>
              </w:rPr>
              <w:t>Train Control – Potential integration and Startup Costs, claims and delays</w:t>
            </w:r>
          </w:p>
        </w:tc>
        <w:tc>
          <w:tcPr>
            <w:tcW w:w="1440" w:type="dxa"/>
          </w:tcPr>
          <w:p w:rsidR="006269C2" w:rsidRPr="00A561E1" w:rsidRDefault="006269C2">
            <w:pPr>
              <w:keepNext/>
              <w:jc w:val="right"/>
              <w:rPr>
                <w:sz w:val="20"/>
                <w:szCs w:val="20"/>
              </w:rPr>
            </w:pPr>
            <w:r w:rsidRPr="00A561E1">
              <w:rPr>
                <w:sz w:val="20"/>
                <w:szCs w:val="20"/>
              </w:rPr>
              <w:t>$1.8</w:t>
            </w:r>
          </w:p>
        </w:tc>
        <w:tc>
          <w:tcPr>
            <w:tcW w:w="1440" w:type="dxa"/>
          </w:tcPr>
          <w:p w:rsidR="006269C2" w:rsidRPr="00A561E1" w:rsidRDefault="006269C2">
            <w:pPr>
              <w:keepNext/>
              <w:jc w:val="right"/>
              <w:rPr>
                <w:sz w:val="20"/>
                <w:szCs w:val="20"/>
              </w:rPr>
            </w:pPr>
            <w:r w:rsidRPr="00A561E1">
              <w:rPr>
                <w:sz w:val="20"/>
                <w:szCs w:val="20"/>
              </w:rPr>
              <w:t>25%</w:t>
            </w:r>
          </w:p>
        </w:tc>
      </w:tr>
      <w:tr w:rsidR="006269C2" w:rsidRPr="00A561E1">
        <w:trPr>
          <w:jc w:val="center"/>
        </w:trPr>
        <w:tc>
          <w:tcPr>
            <w:tcW w:w="1002" w:type="dxa"/>
          </w:tcPr>
          <w:p w:rsidR="006269C2" w:rsidRPr="00A561E1" w:rsidRDefault="006269C2">
            <w:pPr>
              <w:keepNext/>
              <w:jc w:val="center"/>
              <w:rPr>
                <w:sz w:val="20"/>
                <w:szCs w:val="20"/>
              </w:rPr>
            </w:pPr>
            <w:r w:rsidRPr="00A561E1">
              <w:rPr>
                <w:sz w:val="20"/>
                <w:szCs w:val="20"/>
              </w:rPr>
              <w:t>2-102</w:t>
            </w:r>
          </w:p>
        </w:tc>
        <w:tc>
          <w:tcPr>
            <w:tcW w:w="5328" w:type="dxa"/>
          </w:tcPr>
          <w:p w:rsidR="006269C2" w:rsidRPr="00A561E1" w:rsidRDefault="006269C2">
            <w:pPr>
              <w:keepNext/>
              <w:rPr>
                <w:sz w:val="20"/>
                <w:szCs w:val="20"/>
              </w:rPr>
            </w:pPr>
            <w:r w:rsidRPr="00A561E1">
              <w:rPr>
                <w:bCs/>
                <w:sz w:val="20"/>
                <w:szCs w:val="20"/>
              </w:rPr>
              <w:t>Separate Closeout Contract</w:t>
            </w:r>
          </w:p>
        </w:tc>
        <w:tc>
          <w:tcPr>
            <w:tcW w:w="1440" w:type="dxa"/>
          </w:tcPr>
          <w:p w:rsidR="006269C2" w:rsidRPr="00A561E1" w:rsidRDefault="006269C2">
            <w:pPr>
              <w:keepNext/>
              <w:jc w:val="right"/>
              <w:rPr>
                <w:sz w:val="20"/>
                <w:szCs w:val="20"/>
              </w:rPr>
            </w:pPr>
            <w:r w:rsidRPr="00A561E1">
              <w:rPr>
                <w:sz w:val="20"/>
                <w:szCs w:val="20"/>
              </w:rPr>
              <w:t>$1.2</w:t>
            </w:r>
          </w:p>
        </w:tc>
        <w:tc>
          <w:tcPr>
            <w:tcW w:w="1440" w:type="dxa"/>
          </w:tcPr>
          <w:p w:rsidR="006269C2" w:rsidRPr="00A561E1" w:rsidRDefault="006269C2">
            <w:pPr>
              <w:keepNext/>
              <w:jc w:val="right"/>
              <w:rPr>
                <w:sz w:val="20"/>
                <w:szCs w:val="20"/>
              </w:rPr>
            </w:pPr>
            <w:r w:rsidRPr="00A561E1">
              <w:rPr>
                <w:sz w:val="20"/>
                <w:szCs w:val="20"/>
              </w:rPr>
              <w:t>10%</w:t>
            </w:r>
          </w:p>
        </w:tc>
      </w:tr>
      <w:tr w:rsidR="006269C2" w:rsidRPr="00A561E1">
        <w:trPr>
          <w:jc w:val="center"/>
        </w:trPr>
        <w:tc>
          <w:tcPr>
            <w:tcW w:w="1002" w:type="dxa"/>
            <w:tcBorders>
              <w:bottom w:val="single" w:sz="4" w:space="0" w:color="auto"/>
            </w:tcBorders>
          </w:tcPr>
          <w:p w:rsidR="006269C2" w:rsidRPr="00A561E1" w:rsidRDefault="006269C2">
            <w:pPr>
              <w:keepNext/>
              <w:jc w:val="center"/>
              <w:rPr>
                <w:sz w:val="20"/>
                <w:szCs w:val="20"/>
              </w:rPr>
            </w:pPr>
            <w:r w:rsidRPr="00A561E1">
              <w:rPr>
                <w:sz w:val="20"/>
                <w:szCs w:val="20"/>
              </w:rPr>
              <w:t>2-103</w:t>
            </w:r>
          </w:p>
        </w:tc>
        <w:tc>
          <w:tcPr>
            <w:tcW w:w="5328" w:type="dxa"/>
            <w:tcBorders>
              <w:bottom w:val="single" w:sz="4" w:space="0" w:color="auto"/>
            </w:tcBorders>
          </w:tcPr>
          <w:p w:rsidR="006269C2" w:rsidRPr="00A561E1" w:rsidRDefault="006269C2">
            <w:pPr>
              <w:keepNext/>
              <w:rPr>
                <w:sz w:val="20"/>
                <w:szCs w:val="20"/>
              </w:rPr>
            </w:pPr>
            <w:r w:rsidRPr="00A561E1">
              <w:rPr>
                <w:bCs/>
                <w:sz w:val="20"/>
                <w:szCs w:val="20"/>
              </w:rPr>
              <w:t>Communications – Change Orders</w:t>
            </w:r>
            <w:r w:rsidRPr="00A561E1" w:rsidDel="00D45AB8">
              <w:rPr>
                <w:sz w:val="20"/>
                <w:szCs w:val="20"/>
              </w:rPr>
              <w:t xml:space="preserve">  </w:t>
            </w:r>
          </w:p>
        </w:tc>
        <w:tc>
          <w:tcPr>
            <w:tcW w:w="1440" w:type="dxa"/>
          </w:tcPr>
          <w:p w:rsidR="006269C2" w:rsidRPr="00A561E1" w:rsidRDefault="006269C2">
            <w:pPr>
              <w:keepNext/>
              <w:jc w:val="right"/>
              <w:rPr>
                <w:sz w:val="20"/>
                <w:szCs w:val="20"/>
              </w:rPr>
            </w:pPr>
            <w:r w:rsidRPr="00A561E1">
              <w:rPr>
                <w:sz w:val="20"/>
                <w:szCs w:val="20"/>
              </w:rPr>
              <w:t>$1.1</w:t>
            </w:r>
          </w:p>
        </w:tc>
        <w:tc>
          <w:tcPr>
            <w:tcW w:w="1440" w:type="dxa"/>
          </w:tcPr>
          <w:p w:rsidR="006269C2" w:rsidRPr="00A561E1" w:rsidRDefault="006269C2">
            <w:pPr>
              <w:keepNext/>
              <w:jc w:val="right"/>
              <w:rPr>
                <w:sz w:val="20"/>
                <w:szCs w:val="20"/>
              </w:rPr>
            </w:pPr>
            <w:r w:rsidRPr="00A561E1">
              <w:rPr>
                <w:sz w:val="20"/>
                <w:szCs w:val="20"/>
              </w:rPr>
              <w:t>50%</w:t>
            </w:r>
          </w:p>
        </w:tc>
      </w:tr>
      <w:tr w:rsidR="006269C2" w:rsidRPr="00A561E1">
        <w:trPr>
          <w:jc w:val="center"/>
        </w:trPr>
        <w:tc>
          <w:tcPr>
            <w:tcW w:w="1002" w:type="dxa"/>
            <w:tcBorders>
              <w:left w:val="nil"/>
              <w:bottom w:val="single" w:sz="4" w:space="0" w:color="auto"/>
              <w:right w:val="nil"/>
            </w:tcBorders>
          </w:tcPr>
          <w:p w:rsidR="006269C2" w:rsidRPr="00A561E1" w:rsidRDefault="006269C2">
            <w:pPr>
              <w:keepNext/>
              <w:jc w:val="center"/>
              <w:rPr>
                <w:b/>
                <w:sz w:val="20"/>
                <w:szCs w:val="20"/>
              </w:rPr>
            </w:pPr>
            <w:r w:rsidRPr="00A561E1">
              <w:rPr>
                <w:b/>
                <w:sz w:val="20"/>
                <w:szCs w:val="20"/>
              </w:rPr>
              <w:t>TOTAL</w:t>
            </w:r>
          </w:p>
        </w:tc>
        <w:tc>
          <w:tcPr>
            <w:tcW w:w="5328" w:type="dxa"/>
            <w:tcBorders>
              <w:left w:val="nil"/>
              <w:bottom w:val="single" w:sz="4" w:space="0" w:color="auto"/>
            </w:tcBorders>
          </w:tcPr>
          <w:p w:rsidR="006269C2" w:rsidRPr="00A561E1" w:rsidRDefault="006269C2">
            <w:pPr>
              <w:keepNext/>
              <w:jc w:val="center"/>
              <w:rPr>
                <w:b/>
                <w:sz w:val="20"/>
                <w:szCs w:val="20"/>
              </w:rPr>
            </w:pPr>
          </w:p>
        </w:tc>
        <w:tc>
          <w:tcPr>
            <w:tcW w:w="1440" w:type="dxa"/>
            <w:tcBorders>
              <w:bottom w:val="single" w:sz="4" w:space="0" w:color="auto"/>
            </w:tcBorders>
          </w:tcPr>
          <w:p w:rsidR="006269C2" w:rsidRPr="00A561E1" w:rsidRDefault="006269C2">
            <w:pPr>
              <w:keepNext/>
              <w:jc w:val="right"/>
              <w:rPr>
                <w:b/>
                <w:sz w:val="20"/>
                <w:szCs w:val="20"/>
              </w:rPr>
            </w:pPr>
            <w:r w:rsidRPr="00A561E1">
              <w:rPr>
                <w:b/>
                <w:sz w:val="20"/>
                <w:szCs w:val="20"/>
              </w:rPr>
              <w:t>$13.3</w:t>
            </w:r>
          </w:p>
        </w:tc>
        <w:tc>
          <w:tcPr>
            <w:tcW w:w="1440" w:type="dxa"/>
            <w:tcBorders>
              <w:bottom w:val="single" w:sz="4" w:space="0" w:color="auto"/>
            </w:tcBorders>
          </w:tcPr>
          <w:p w:rsidR="006269C2" w:rsidRPr="00A561E1" w:rsidRDefault="006269C2">
            <w:pPr>
              <w:keepNext/>
              <w:jc w:val="right"/>
              <w:rPr>
                <w:b/>
                <w:sz w:val="20"/>
                <w:szCs w:val="20"/>
              </w:rPr>
            </w:pPr>
          </w:p>
        </w:tc>
      </w:tr>
    </w:tbl>
    <w:p w:rsidR="0044751E" w:rsidRPr="00A561E1" w:rsidRDefault="0044751E"/>
    <w:p w:rsidR="0044751E" w:rsidRPr="00A561E1" w:rsidRDefault="0044751E">
      <w:r w:rsidRPr="00A561E1">
        <w:t>It should be noted that there is not a direct linear relationship between the Current Mean Value and the percent complete.  The percent complete is a function of the achievement by NCTD of those milestones that were identified in their Risk Mitigation and Management Plan.  The Current Mean Value is based on the PMOC’s updated assessment of the range of risk remaining for that item.</w:t>
      </w:r>
    </w:p>
    <w:p w:rsidR="0044751E" w:rsidRPr="00A561E1" w:rsidRDefault="0044751E"/>
    <w:p w:rsidR="0044751E" w:rsidRPr="00A561E1" w:rsidRDefault="00A02A77">
      <w:r>
        <w:t xml:space="preserve">The </w:t>
      </w:r>
      <w:r w:rsidR="0044751E" w:rsidRPr="00A561E1">
        <w:t xml:space="preserve">table below provides the range of cost probabilities as identified in the </w:t>
      </w:r>
      <w:r w:rsidR="00DC5C31">
        <w:t xml:space="preserve">2007 </w:t>
      </w:r>
      <w:r w:rsidR="00DC654F" w:rsidRPr="00A561E1">
        <w:t>Cost Risk Assessment</w:t>
      </w:r>
      <w:r w:rsidR="0044751E" w:rsidRPr="00A561E1">
        <w:t>.</w:t>
      </w:r>
    </w:p>
    <w:p w:rsidR="0044751E" w:rsidRPr="00A561E1" w:rsidRDefault="0044751E"/>
    <w:p w:rsidR="0044751E" w:rsidRPr="00A561E1" w:rsidRDefault="0044751E">
      <w:pPr>
        <w:pStyle w:val="Caption"/>
      </w:pPr>
      <w:bookmarkStart w:id="60" w:name="_Toc186615054"/>
      <w:r w:rsidRPr="00A561E1">
        <w:t xml:space="preserve">Table </w:t>
      </w:r>
      <w:fldSimple w:instr=" SEQ Table \* ARABIC ">
        <w:r w:rsidR="00F01E8C">
          <w:rPr>
            <w:noProof/>
          </w:rPr>
          <w:t>5</w:t>
        </w:r>
      </w:fldSimple>
      <w:r w:rsidRPr="00A561E1">
        <w:t>.</w:t>
      </w:r>
      <w:r w:rsidRPr="00A561E1">
        <w:tab/>
        <w:t>Total Project Cost Probabilities</w:t>
      </w:r>
      <w:bookmarkEnd w:id="60"/>
    </w:p>
    <w:tbl>
      <w:tblPr>
        <w:tblW w:w="4734" w:type="dxa"/>
        <w:jc w:val="center"/>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2294"/>
      </w:tblGrid>
      <w:tr w:rsidR="0044751E" w:rsidRPr="00A561E1">
        <w:trPr>
          <w:trHeight w:val="270"/>
          <w:jc w:val="center"/>
        </w:trPr>
        <w:tc>
          <w:tcPr>
            <w:tcW w:w="2440" w:type="dxa"/>
            <w:noWrap/>
            <w:vAlign w:val="center"/>
          </w:tcPr>
          <w:p w:rsidR="0044751E" w:rsidRPr="00A561E1" w:rsidRDefault="0044751E">
            <w:pPr>
              <w:keepNext/>
              <w:jc w:val="center"/>
              <w:rPr>
                <w:b/>
                <w:sz w:val="20"/>
                <w:szCs w:val="20"/>
              </w:rPr>
            </w:pPr>
            <w:r w:rsidRPr="00A561E1">
              <w:rPr>
                <w:b/>
                <w:sz w:val="20"/>
                <w:szCs w:val="20"/>
              </w:rPr>
              <w:t>Probability of Underrun</w:t>
            </w:r>
          </w:p>
        </w:tc>
        <w:tc>
          <w:tcPr>
            <w:tcW w:w="2294" w:type="dxa"/>
          </w:tcPr>
          <w:p w:rsidR="0044751E" w:rsidRPr="00A561E1" w:rsidRDefault="0044751E">
            <w:pPr>
              <w:keepNext/>
              <w:jc w:val="center"/>
              <w:rPr>
                <w:b/>
                <w:sz w:val="20"/>
                <w:szCs w:val="20"/>
              </w:rPr>
            </w:pPr>
            <w:r w:rsidRPr="00A561E1">
              <w:rPr>
                <w:b/>
                <w:sz w:val="20"/>
                <w:szCs w:val="20"/>
              </w:rPr>
              <w:t>Current Expected Cost</w:t>
            </w:r>
          </w:p>
        </w:tc>
      </w:tr>
      <w:tr w:rsidR="00300FF3" w:rsidRPr="00A561E1">
        <w:trPr>
          <w:trHeight w:val="270"/>
          <w:jc w:val="center"/>
        </w:trPr>
        <w:tc>
          <w:tcPr>
            <w:tcW w:w="2440" w:type="dxa"/>
            <w:noWrap/>
            <w:vAlign w:val="center"/>
          </w:tcPr>
          <w:p w:rsidR="00300FF3" w:rsidRPr="00A561E1" w:rsidRDefault="00300FF3">
            <w:pPr>
              <w:keepNext/>
              <w:jc w:val="center"/>
              <w:rPr>
                <w:sz w:val="20"/>
                <w:szCs w:val="20"/>
              </w:rPr>
            </w:pPr>
            <w:r w:rsidRPr="00A561E1">
              <w:rPr>
                <w:sz w:val="20"/>
                <w:szCs w:val="20"/>
              </w:rPr>
              <w:t>1%</w:t>
            </w:r>
          </w:p>
        </w:tc>
        <w:tc>
          <w:tcPr>
            <w:tcW w:w="2294" w:type="dxa"/>
            <w:vAlign w:val="center"/>
          </w:tcPr>
          <w:p w:rsidR="00300FF3" w:rsidRPr="00A561E1" w:rsidRDefault="00300FF3" w:rsidP="0044751E">
            <w:pPr>
              <w:jc w:val="center"/>
              <w:rPr>
                <w:sz w:val="20"/>
                <w:szCs w:val="20"/>
              </w:rPr>
            </w:pPr>
            <w:r w:rsidRPr="00A561E1">
              <w:rPr>
                <w:sz w:val="20"/>
                <w:szCs w:val="20"/>
              </w:rPr>
              <w:t>$470,553,427</w:t>
            </w:r>
          </w:p>
        </w:tc>
      </w:tr>
      <w:tr w:rsidR="00300FF3" w:rsidRPr="00A561E1">
        <w:trPr>
          <w:trHeight w:val="255"/>
          <w:jc w:val="center"/>
        </w:trPr>
        <w:tc>
          <w:tcPr>
            <w:tcW w:w="2440" w:type="dxa"/>
            <w:noWrap/>
            <w:vAlign w:val="center"/>
          </w:tcPr>
          <w:p w:rsidR="00300FF3" w:rsidRPr="00A561E1" w:rsidRDefault="00300FF3">
            <w:pPr>
              <w:keepNext/>
              <w:jc w:val="center"/>
              <w:rPr>
                <w:sz w:val="20"/>
                <w:szCs w:val="20"/>
              </w:rPr>
            </w:pPr>
            <w:r w:rsidRPr="00A561E1">
              <w:rPr>
                <w:sz w:val="20"/>
                <w:szCs w:val="20"/>
              </w:rPr>
              <w:t>5%</w:t>
            </w:r>
          </w:p>
        </w:tc>
        <w:tc>
          <w:tcPr>
            <w:tcW w:w="2294" w:type="dxa"/>
            <w:vAlign w:val="center"/>
          </w:tcPr>
          <w:p w:rsidR="00300FF3" w:rsidRPr="00A561E1" w:rsidRDefault="00300FF3" w:rsidP="0044751E">
            <w:pPr>
              <w:jc w:val="center"/>
              <w:rPr>
                <w:sz w:val="20"/>
                <w:szCs w:val="20"/>
              </w:rPr>
            </w:pPr>
            <w:r w:rsidRPr="00A561E1">
              <w:rPr>
                <w:sz w:val="20"/>
                <w:szCs w:val="20"/>
              </w:rPr>
              <w:t>$473,169,355</w:t>
            </w:r>
          </w:p>
        </w:tc>
      </w:tr>
      <w:tr w:rsidR="00300FF3" w:rsidRPr="00A561E1">
        <w:trPr>
          <w:trHeight w:val="270"/>
          <w:jc w:val="center"/>
        </w:trPr>
        <w:tc>
          <w:tcPr>
            <w:tcW w:w="2440" w:type="dxa"/>
            <w:noWrap/>
            <w:vAlign w:val="center"/>
          </w:tcPr>
          <w:p w:rsidR="00300FF3" w:rsidRPr="00A561E1" w:rsidRDefault="00300FF3">
            <w:pPr>
              <w:keepNext/>
              <w:jc w:val="center"/>
              <w:rPr>
                <w:sz w:val="20"/>
                <w:szCs w:val="20"/>
              </w:rPr>
            </w:pPr>
            <w:r w:rsidRPr="00A561E1">
              <w:rPr>
                <w:sz w:val="20"/>
                <w:szCs w:val="20"/>
              </w:rPr>
              <w:t>10%</w:t>
            </w:r>
          </w:p>
        </w:tc>
        <w:tc>
          <w:tcPr>
            <w:tcW w:w="2294" w:type="dxa"/>
            <w:vAlign w:val="center"/>
          </w:tcPr>
          <w:p w:rsidR="00300FF3" w:rsidRPr="00A561E1" w:rsidRDefault="00300FF3" w:rsidP="0044751E">
            <w:pPr>
              <w:jc w:val="center"/>
              <w:rPr>
                <w:sz w:val="20"/>
                <w:szCs w:val="20"/>
              </w:rPr>
            </w:pPr>
            <w:r w:rsidRPr="00A561E1">
              <w:rPr>
                <w:sz w:val="20"/>
                <w:szCs w:val="20"/>
              </w:rPr>
              <w:t>$474,551,616</w:t>
            </w:r>
          </w:p>
        </w:tc>
      </w:tr>
      <w:tr w:rsidR="00300FF3" w:rsidRPr="00A561E1">
        <w:trPr>
          <w:trHeight w:val="255"/>
          <w:jc w:val="center"/>
        </w:trPr>
        <w:tc>
          <w:tcPr>
            <w:tcW w:w="2440" w:type="dxa"/>
            <w:noWrap/>
            <w:vAlign w:val="center"/>
          </w:tcPr>
          <w:p w:rsidR="00300FF3" w:rsidRPr="00A561E1" w:rsidRDefault="00300FF3">
            <w:pPr>
              <w:keepNext/>
              <w:jc w:val="center"/>
              <w:rPr>
                <w:sz w:val="20"/>
                <w:szCs w:val="20"/>
              </w:rPr>
            </w:pPr>
            <w:r w:rsidRPr="00A561E1">
              <w:rPr>
                <w:sz w:val="20"/>
                <w:szCs w:val="20"/>
              </w:rPr>
              <w:t>25%</w:t>
            </w:r>
          </w:p>
        </w:tc>
        <w:tc>
          <w:tcPr>
            <w:tcW w:w="2294" w:type="dxa"/>
            <w:vAlign w:val="center"/>
          </w:tcPr>
          <w:p w:rsidR="00300FF3" w:rsidRPr="00A561E1" w:rsidRDefault="00300FF3" w:rsidP="0044751E">
            <w:pPr>
              <w:jc w:val="center"/>
              <w:rPr>
                <w:sz w:val="20"/>
                <w:szCs w:val="20"/>
              </w:rPr>
            </w:pPr>
            <w:r w:rsidRPr="00A561E1">
              <w:rPr>
                <w:sz w:val="20"/>
                <w:szCs w:val="20"/>
              </w:rPr>
              <w:t>$476,893,780</w:t>
            </w:r>
          </w:p>
        </w:tc>
      </w:tr>
      <w:tr w:rsidR="00300FF3" w:rsidRPr="00A561E1">
        <w:trPr>
          <w:trHeight w:val="255"/>
          <w:jc w:val="center"/>
        </w:trPr>
        <w:tc>
          <w:tcPr>
            <w:tcW w:w="2440" w:type="dxa"/>
            <w:noWrap/>
            <w:vAlign w:val="center"/>
          </w:tcPr>
          <w:p w:rsidR="00300FF3" w:rsidRPr="00A561E1" w:rsidRDefault="00300FF3">
            <w:pPr>
              <w:keepNext/>
              <w:jc w:val="center"/>
              <w:rPr>
                <w:sz w:val="20"/>
                <w:szCs w:val="20"/>
              </w:rPr>
            </w:pPr>
            <w:r w:rsidRPr="00A561E1">
              <w:rPr>
                <w:sz w:val="20"/>
                <w:szCs w:val="20"/>
              </w:rPr>
              <w:t>50%</w:t>
            </w:r>
          </w:p>
        </w:tc>
        <w:tc>
          <w:tcPr>
            <w:tcW w:w="2294" w:type="dxa"/>
            <w:vAlign w:val="center"/>
          </w:tcPr>
          <w:p w:rsidR="00300FF3" w:rsidRPr="00A561E1" w:rsidRDefault="00300FF3" w:rsidP="0044751E">
            <w:pPr>
              <w:jc w:val="center"/>
              <w:rPr>
                <w:sz w:val="20"/>
                <w:szCs w:val="20"/>
              </w:rPr>
            </w:pPr>
            <w:r w:rsidRPr="00A561E1">
              <w:rPr>
                <w:sz w:val="20"/>
                <w:szCs w:val="20"/>
              </w:rPr>
              <w:t>$479,485,518</w:t>
            </w:r>
          </w:p>
        </w:tc>
      </w:tr>
      <w:tr w:rsidR="00300FF3" w:rsidRPr="00A561E1">
        <w:trPr>
          <w:trHeight w:val="255"/>
          <w:jc w:val="center"/>
        </w:trPr>
        <w:tc>
          <w:tcPr>
            <w:tcW w:w="2440" w:type="dxa"/>
            <w:noWrap/>
            <w:vAlign w:val="center"/>
          </w:tcPr>
          <w:p w:rsidR="00300FF3" w:rsidRPr="00A561E1" w:rsidRDefault="00300FF3">
            <w:pPr>
              <w:keepNext/>
              <w:jc w:val="center"/>
              <w:rPr>
                <w:sz w:val="20"/>
                <w:szCs w:val="20"/>
              </w:rPr>
            </w:pPr>
            <w:r w:rsidRPr="00A561E1">
              <w:rPr>
                <w:sz w:val="20"/>
                <w:szCs w:val="20"/>
              </w:rPr>
              <w:t>75%</w:t>
            </w:r>
          </w:p>
        </w:tc>
        <w:tc>
          <w:tcPr>
            <w:tcW w:w="2294" w:type="dxa"/>
            <w:vAlign w:val="center"/>
          </w:tcPr>
          <w:p w:rsidR="00300FF3" w:rsidRPr="00A561E1" w:rsidRDefault="00300FF3" w:rsidP="0044751E">
            <w:pPr>
              <w:jc w:val="center"/>
              <w:rPr>
                <w:sz w:val="20"/>
                <w:szCs w:val="20"/>
              </w:rPr>
            </w:pPr>
            <w:r w:rsidRPr="00A561E1">
              <w:rPr>
                <w:sz w:val="20"/>
                <w:szCs w:val="20"/>
              </w:rPr>
              <w:t>$482,077,257</w:t>
            </w:r>
          </w:p>
        </w:tc>
      </w:tr>
      <w:tr w:rsidR="00300FF3" w:rsidRPr="00A561E1">
        <w:trPr>
          <w:trHeight w:val="255"/>
          <w:jc w:val="center"/>
        </w:trPr>
        <w:tc>
          <w:tcPr>
            <w:tcW w:w="2440" w:type="dxa"/>
            <w:noWrap/>
            <w:vAlign w:val="center"/>
          </w:tcPr>
          <w:p w:rsidR="00300FF3" w:rsidRPr="00A561E1" w:rsidRDefault="00300FF3">
            <w:pPr>
              <w:keepNext/>
              <w:jc w:val="center"/>
              <w:rPr>
                <w:sz w:val="20"/>
                <w:szCs w:val="20"/>
              </w:rPr>
            </w:pPr>
            <w:r w:rsidRPr="00A561E1">
              <w:rPr>
                <w:sz w:val="20"/>
                <w:szCs w:val="20"/>
              </w:rPr>
              <w:t>80%</w:t>
            </w:r>
          </w:p>
        </w:tc>
        <w:tc>
          <w:tcPr>
            <w:tcW w:w="2294" w:type="dxa"/>
            <w:vAlign w:val="center"/>
          </w:tcPr>
          <w:p w:rsidR="00300FF3" w:rsidRPr="00A561E1" w:rsidRDefault="00300FF3" w:rsidP="0044751E">
            <w:pPr>
              <w:jc w:val="center"/>
              <w:rPr>
                <w:sz w:val="20"/>
                <w:szCs w:val="20"/>
              </w:rPr>
            </w:pPr>
            <w:r w:rsidRPr="00A561E1">
              <w:rPr>
                <w:sz w:val="20"/>
                <w:szCs w:val="20"/>
              </w:rPr>
              <w:t>$482,710,793</w:t>
            </w:r>
          </w:p>
        </w:tc>
      </w:tr>
      <w:tr w:rsidR="00300FF3" w:rsidRPr="00A561E1">
        <w:trPr>
          <w:trHeight w:val="255"/>
          <w:jc w:val="center"/>
        </w:trPr>
        <w:tc>
          <w:tcPr>
            <w:tcW w:w="2440" w:type="dxa"/>
            <w:noWrap/>
            <w:vAlign w:val="center"/>
          </w:tcPr>
          <w:p w:rsidR="00300FF3" w:rsidRPr="00A561E1" w:rsidRDefault="00300FF3">
            <w:pPr>
              <w:keepNext/>
              <w:jc w:val="center"/>
              <w:rPr>
                <w:sz w:val="20"/>
                <w:szCs w:val="20"/>
              </w:rPr>
            </w:pPr>
            <w:r w:rsidRPr="00A561E1">
              <w:rPr>
                <w:sz w:val="20"/>
                <w:szCs w:val="20"/>
              </w:rPr>
              <w:t>90%</w:t>
            </w:r>
          </w:p>
        </w:tc>
        <w:tc>
          <w:tcPr>
            <w:tcW w:w="2294" w:type="dxa"/>
            <w:vAlign w:val="center"/>
          </w:tcPr>
          <w:p w:rsidR="00300FF3" w:rsidRPr="00A561E1" w:rsidRDefault="00300FF3" w:rsidP="0044751E">
            <w:pPr>
              <w:jc w:val="center"/>
              <w:rPr>
                <w:sz w:val="20"/>
                <w:szCs w:val="20"/>
              </w:rPr>
            </w:pPr>
            <w:r w:rsidRPr="00A561E1">
              <w:rPr>
                <w:sz w:val="20"/>
                <w:szCs w:val="20"/>
              </w:rPr>
              <w:t>$484,419,421</w:t>
            </w:r>
          </w:p>
        </w:tc>
      </w:tr>
      <w:tr w:rsidR="00300FF3" w:rsidRPr="00A561E1">
        <w:trPr>
          <w:trHeight w:val="255"/>
          <w:jc w:val="center"/>
        </w:trPr>
        <w:tc>
          <w:tcPr>
            <w:tcW w:w="2440" w:type="dxa"/>
            <w:noWrap/>
            <w:vAlign w:val="center"/>
          </w:tcPr>
          <w:p w:rsidR="00300FF3" w:rsidRPr="00A561E1" w:rsidRDefault="00300FF3">
            <w:pPr>
              <w:keepNext/>
              <w:jc w:val="center"/>
              <w:rPr>
                <w:sz w:val="20"/>
                <w:szCs w:val="20"/>
              </w:rPr>
            </w:pPr>
            <w:r w:rsidRPr="00A561E1">
              <w:rPr>
                <w:sz w:val="20"/>
                <w:szCs w:val="20"/>
              </w:rPr>
              <w:t>95%</w:t>
            </w:r>
          </w:p>
        </w:tc>
        <w:tc>
          <w:tcPr>
            <w:tcW w:w="2294" w:type="dxa"/>
            <w:vAlign w:val="center"/>
          </w:tcPr>
          <w:p w:rsidR="00300FF3" w:rsidRPr="00A561E1" w:rsidRDefault="00300FF3" w:rsidP="0044751E">
            <w:pPr>
              <w:jc w:val="center"/>
              <w:rPr>
                <w:sz w:val="20"/>
                <w:szCs w:val="20"/>
              </w:rPr>
            </w:pPr>
            <w:r w:rsidRPr="00A561E1">
              <w:rPr>
                <w:sz w:val="20"/>
                <w:szCs w:val="20"/>
              </w:rPr>
              <w:t>$485,801,682</w:t>
            </w:r>
          </w:p>
        </w:tc>
      </w:tr>
      <w:tr w:rsidR="00300FF3" w:rsidRPr="00A561E1">
        <w:trPr>
          <w:trHeight w:val="270"/>
          <w:jc w:val="center"/>
        </w:trPr>
        <w:tc>
          <w:tcPr>
            <w:tcW w:w="2440" w:type="dxa"/>
            <w:noWrap/>
            <w:vAlign w:val="center"/>
          </w:tcPr>
          <w:p w:rsidR="00300FF3" w:rsidRPr="00A561E1" w:rsidRDefault="00300FF3">
            <w:pPr>
              <w:keepNext/>
              <w:jc w:val="center"/>
              <w:rPr>
                <w:sz w:val="20"/>
                <w:szCs w:val="20"/>
              </w:rPr>
            </w:pPr>
            <w:r w:rsidRPr="00A561E1">
              <w:rPr>
                <w:sz w:val="20"/>
                <w:szCs w:val="20"/>
              </w:rPr>
              <w:t>99%</w:t>
            </w:r>
          </w:p>
        </w:tc>
        <w:tc>
          <w:tcPr>
            <w:tcW w:w="2294" w:type="dxa"/>
            <w:vAlign w:val="center"/>
          </w:tcPr>
          <w:p w:rsidR="00300FF3" w:rsidRPr="00A561E1" w:rsidRDefault="00300FF3" w:rsidP="0044751E">
            <w:pPr>
              <w:jc w:val="center"/>
              <w:rPr>
                <w:sz w:val="20"/>
                <w:szCs w:val="20"/>
              </w:rPr>
            </w:pPr>
            <w:r w:rsidRPr="00A561E1">
              <w:rPr>
                <w:sz w:val="20"/>
                <w:szCs w:val="20"/>
              </w:rPr>
              <w:t>$488,417,610</w:t>
            </w:r>
          </w:p>
        </w:tc>
      </w:tr>
    </w:tbl>
    <w:p w:rsidR="0044751E" w:rsidRPr="00A561E1" w:rsidRDefault="0044751E"/>
    <w:p w:rsidR="0044751E" w:rsidRPr="00A561E1" w:rsidRDefault="0044751E">
      <w:r w:rsidRPr="00A561E1">
        <w:t xml:space="preserve">The figure below shows the S-curve based on the </w:t>
      </w:r>
      <w:r w:rsidR="00DC5C31">
        <w:t xml:space="preserve">2007 </w:t>
      </w:r>
      <w:r w:rsidR="00DC654F" w:rsidRPr="00A561E1">
        <w:t>Cost Risk Assessment</w:t>
      </w:r>
      <w:r w:rsidRPr="00A561E1">
        <w:t>.</w:t>
      </w:r>
    </w:p>
    <w:p w:rsidR="00BB50ED" w:rsidRPr="00A561E1" w:rsidRDefault="00BB50ED"/>
    <w:p w:rsidR="0044751E" w:rsidRPr="00A561E1" w:rsidRDefault="0044751E">
      <w:pPr>
        <w:pStyle w:val="Caption"/>
      </w:pPr>
      <w:bookmarkStart w:id="61" w:name="_Toc186615056"/>
      <w:r w:rsidRPr="00A561E1">
        <w:t xml:space="preserve">Figure </w:t>
      </w:r>
      <w:fldSimple w:instr=" SEQ Figure \* ARABIC ">
        <w:r w:rsidR="00F01E8C">
          <w:rPr>
            <w:noProof/>
          </w:rPr>
          <w:t>1</w:t>
        </w:r>
      </w:fldSimple>
      <w:r w:rsidRPr="00A561E1">
        <w:t>.</w:t>
      </w:r>
      <w:r w:rsidRPr="00A561E1">
        <w:tab/>
        <w:t>Probability of Underrun for Total Project Cost (S-curve)</w:t>
      </w:r>
      <w:bookmarkEnd w:id="61"/>
    </w:p>
    <w:p w:rsidR="0044751E" w:rsidRPr="00A561E1" w:rsidRDefault="00F01E8C">
      <w:pPr>
        <w:jc w:val="center"/>
      </w:pPr>
      <w:r>
        <w:rPr>
          <w:noProof/>
        </w:rPr>
        <w:drawing>
          <wp:inline distT="0" distB="0" distL="0" distR="0">
            <wp:extent cx="5486400" cy="481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4819650"/>
                    </a:xfrm>
                    <a:prstGeom prst="rect">
                      <a:avLst/>
                    </a:prstGeom>
                    <a:noFill/>
                    <a:ln>
                      <a:noFill/>
                    </a:ln>
                  </pic:spPr>
                </pic:pic>
              </a:graphicData>
            </a:graphic>
          </wp:inline>
        </w:drawing>
      </w:r>
    </w:p>
    <w:p w:rsidR="00751129" w:rsidRDefault="00751129"/>
    <w:p w:rsidR="0044751E" w:rsidRPr="00A561E1" w:rsidRDefault="0044751E">
      <w:pPr>
        <w:pStyle w:val="Heading3"/>
      </w:pPr>
      <w:bookmarkStart w:id="62" w:name="_Toc186615027"/>
      <w:r w:rsidRPr="00A561E1">
        <w:t>Contingency</w:t>
      </w:r>
      <w:bookmarkEnd w:id="62"/>
    </w:p>
    <w:p w:rsidR="00027012" w:rsidRPr="00A561E1" w:rsidRDefault="00027012" w:rsidP="00027012">
      <w:r w:rsidRPr="00A561E1">
        <w:t xml:space="preserve">The original 2003 FFGA </w:t>
      </w:r>
      <w:r w:rsidR="009C7D10" w:rsidRPr="00A561E1">
        <w:t xml:space="preserve">Budget </w:t>
      </w:r>
      <w:r w:rsidRPr="00A561E1">
        <w:t>of $351.5M</w:t>
      </w:r>
      <w:r w:rsidR="009C7D10" w:rsidRPr="00A561E1">
        <w:t xml:space="preserve"> </w:t>
      </w:r>
      <w:r w:rsidRPr="00A561E1">
        <w:t>included the following contingencies:</w:t>
      </w:r>
    </w:p>
    <w:p w:rsidR="00722BEB" w:rsidRPr="00A561E1" w:rsidRDefault="00722BEB" w:rsidP="00027012">
      <w:pPr>
        <w:ind w:left="720"/>
      </w:pPr>
    </w:p>
    <w:p w:rsidR="00027012" w:rsidRPr="00A561E1" w:rsidRDefault="00027012" w:rsidP="00027012">
      <w:pPr>
        <w:ind w:left="720"/>
      </w:pPr>
      <w:r w:rsidRPr="00A561E1">
        <w:t>Allocated – $14.6M</w:t>
      </w:r>
    </w:p>
    <w:p w:rsidR="00027012" w:rsidRPr="00A561E1" w:rsidRDefault="00027012" w:rsidP="00027012">
      <w:pPr>
        <w:ind w:left="720"/>
      </w:pPr>
      <w:r w:rsidRPr="00A561E1">
        <w:t>Unallocated – $16.3M</w:t>
      </w:r>
    </w:p>
    <w:p w:rsidR="00027012" w:rsidRPr="00A561E1" w:rsidRDefault="00027012" w:rsidP="00027012">
      <w:pPr>
        <w:ind w:left="720"/>
      </w:pPr>
      <w:r w:rsidRPr="00A561E1">
        <w:t>Total – $30.9M</w:t>
      </w:r>
    </w:p>
    <w:p w:rsidR="00027012" w:rsidRPr="00A561E1" w:rsidRDefault="00027012" w:rsidP="00027012"/>
    <w:p w:rsidR="00027012" w:rsidRPr="00A561E1" w:rsidRDefault="00027012" w:rsidP="00027012">
      <w:r w:rsidRPr="00A561E1">
        <w:t xml:space="preserve">The 2005 Recovery Plan </w:t>
      </w:r>
      <w:r w:rsidR="009C7D10" w:rsidRPr="00A561E1">
        <w:t xml:space="preserve">Budget </w:t>
      </w:r>
      <w:r w:rsidRPr="00A561E1">
        <w:t>of $385.6M included the following</w:t>
      </w:r>
      <w:r w:rsidR="009C7D10" w:rsidRPr="00A561E1">
        <w:t xml:space="preserve"> contingencies</w:t>
      </w:r>
      <w:r w:rsidRPr="00A561E1">
        <w:t>:</w:t>
      </w:r>
    </w:p>
    <w:p w:rsidR="00722BEB" w:rsidRPr="00A561E1" w:rsidRDefault="00722BEB" w:rsidP="00027012">
      <w:pPr>
        <w:ind w:left="720"/>
      </w:pPr>
    </w:p>
    <w:p w:rsidR="00027012" w:rsidRPr="00A561E1" w:rsidRDefault="00027012" w:rsidP="00027012">
      <w:pPr>
        <w:ind w:left="720"/>
      </w:pPr>
      <w:r w:rsidRPr="00A561E1">
        <w:t>Allocated – $23.9M</w:t>
      </w:r>
    </w:p>
    <w:p w:rsidR="00027012" w:rsidRPr="00A561E1" w:rsidRDefault="00027012" w:rsidP="00027012">
      <w:pPr>
        <w:ind w:left="720"/>
      </w:pPr>
      <w:r w:rsidRPr="00A561E1">
        <w:t>Unallocated – $10.2M</w:t>
      </w:r>
    </w:p>
    <w:p w:rsidR="00027012" w:rsidRPr="00A561E1" w:rsidRDefault="00027012" w:rsidP="00027012">
      <w:pPr>
        <w:ind w:left="720"/>
      </w:pPr>
      <w:r w:rsidRPr="00A561E1">
        <w:t>Total – $34.1M</w:t>
      </w:r>
    </w:p>
    <w:p w:rsidR="00027012" w:rsidRPr="00A561E1" w:rsidRDefault="00027012" w:rsidP="00027012"/>
    <w:p w:rsidR="00027012" w:rsidRPr="00A561E1" w:rsidRDefault="00027012" w:rsidP="00027012">
      <w:r w:rsidRPr="00A561E1">
        <w:rPr>
          <w:lang w:bidi="hi-IN"/>
        </w:rPr>
        <w:t>Under the 2006 Amended Recovery Plan (ARP), contingency budgets were again revised. Certain amounts of allocated contingency were applied to each line item, as shown in Amended FFGA Attachment 3.  In addition, the unallocated contingency was increased and divided into two parts, Unallocated Contingency and Risk Mitigation Contingency, for purposes of tracking funding sources.  However, b</w:t>
      </w:r>
      <w:r w:rsidRPr="00A561E1">
        <w:t>oth of these are categorized as FTA Code 13.73.00 – Unallocated Contingency.  The ARP Total Project Budget of $484.1M included the following:</w:t>
      </w:r>
    </w:p>
    <w:p w:rsidR="00722BEB" w:rsidRPr="00A561E1" w:rsidRDefault="00722BEB" w:rsidP="00027012">
      <w:pPr>
        <w:ind w:left="720"/>
      </w:pPr>
    </w:p>
    <w:p w:rsidR="00027012" w:rsidRPr="00A561E1" w:rsidRDefault="00027012" w:rsidP="00027012">
      <w:pPr>
        <w:ind w:left="720"/>
      </w:pPr>
      <w:r w:rsidRPr="00A561E1">
        <w:t>Allocated – $18.9M</w:t>
      </w:r>
    </w:p>
    <w:p w:rsidR="00027012" w:rsidRPr="00A561E1" w:rsidRDefault="00027012" w:rsidP="00027012">
      <w:pPr>
        <w:ind w:left="720"/>
      </w:pPr>
      <w:r w:rsidRPr="00A561E1">
        <w:t>Unallocated – $48.9M ($5.8M Unallocated Contingency +</w:t>
      </w:r>
      <w:r w:rsidR="003D1D06">
        <w:t xml:space="preserve"> </w:t>
      </w:r>
      <w:r w:rsidRPr="00A561E1">
        <w:t>$43.1M in Risk Management Contingency)</w:t>
      </w:r>
    </w:p>
    <w:p w:rsidR="00027012" w:rsidRPr="00A561E1" w:rsidRDefault="00027012" w:rsidP="00027012">
      <w:pPr>
        <w:ind w:left="720"/>
      </w:pPr>
      <w:r w:rsidRPr="00A561E1">
        <w:t>Total – $67.8M</w:t>
      </w:r>
    </w:p>
    <w:p w:rsidR="00027012" w:rsidRPr="00A561E1" w:rsidRDefault="00027012" w:rsidP="00027012"/>
    <w:p w:rsidR="00027012" w:rsidRPr="00A561E1" w:rsidRDefault="00027012" w:rsidP="00027012">
      <w:r w:rsidRPr="00A561E1">
        <w:t>The current balance of contingency includes:</w:t>
      </w:r>
    </w:p>
    <w:p w:rsidR="00F30CB1" w:rsidRPr="00A561E1" w:rsidRDefault="00F30CB1" w:rsidP="00027012"/>
    <w:p w:rsidR="006A750A" w:rsidRPr="00A561E1" w:rsidRDefault="006A750A" w:rsidP="006A750A">
      <w:pPr>
        <w:ind w:left="720"/>
      </w:pPr>
      <w:r w:rsidRPr="00A561E1">
        <w:t>Allocated – $10.1M</w:t>
      </w:r>
    </w:p>
    <w:p w:rsidR="006A750A" w:rsidRPr="00A561E1" w:rsidRDefault="006A750A" w:rsidP="006A750A">
      <w:pPr>
        <w:ind w:left="720"/>
      </w:pPr>
      <w:r w:rsidRPr="00A561E1">
        <w:t>Unallocated – $6.6M</w:t>
      </w:r>
    </w:p>
    <w:p w:rsidR="006A750A" w:rsidRPr="00A561E1" w:rsidRDefault="006A750A" w:rsidP="006A750A">
      <w:pPr>
        <w:ind w:left="720"/>
      </w:pPr>
      <w:r w:rsidRPr="00A561E1">
        <w:t>Total – $16.7M</w:t>
      </w:r>
    </w:p>
    <w:p w:rsidR="006A750A" w:rsidRPr="00A561E1" w:rsidRDefault="006A750A" w:rsidP="00027012"/>
    <w:p w:rsidR="00027012" w:rsidRPr="00A561E1" w:rsidRDefault="00027012" w:rsidP="00027012">
      <w:r w:rsidRPr="00A561E1">
        <w:t xml:space="preserve">The PMOC’s </w:t>
      </w:r>
      <w:r w:rsidR="00DC5C31">
        <w:t xml:space="preserve">2007 </w:t>
      </w:r>
      <w:r w:rsidRPr="00A561E1">
        <w:t>Cost Risk Assessment was based on the assumption that ROD will occur between one and three months after NCTD’s target ROD of December 2007.  The PMOC’s current assessment is that full revenue operations is likely to occur in April 2008 and that the remaining contingency should be adequat</w:t>
      </w:r>
      <w:r w:rsidR="00355E3B">
        <w:t>e.  Compare the estimated $13.3</w:t>
      </w:r>
      <w:r w:rsidRPr="00A561E1">
        <w:t xml:space="preserve">M in remaining risks (Table </w:t>
      </w:r>
      <w:r w:rsidR="0072037D" w:rsidRPr="00A561E1">
        <w:t>4</w:t>
      </w:r>
      <w:r w:rsidRPr="00A561E1">
        <w:t>) with the remaining contingency of $16.7M.  NCTD should have sufficient contingency to address all project-related administrative costs including closeout of construction and resolution of change orders, even if the ROD extends to July 2008, assuming that NCTD effectively manages the remaining risks. This ass</w:t>
      </w:r>
      <w:r w:rsidR="00091904" w:rsidRPr="00A561E1">
        <w:t xml:space="preserve">essment is based on studies of </w:t>
      </w:r>
      <w:r w:rsidRPr="00A561E1">
        <w:t>NCTD Management, Administrative, and Construction Management expense “burn rates”.</w:t>
      </w:r>
    </w:p>
    <w:p w:rsidR="0044751E" w:rsidRPr="00A561E1" w:rsidRDefault="0044751E"/>
    <w:p w:rsidR="0044751E" w:rsidRPr="00A561E1" w:rsidRDefault="0044751E">
      <w:pPr>
        <w:pStyle w:val="Heading3"/>
      </w:pPr>
      <w:bookmarkStart w:id="63" w:name="_Toc186615028"/>
      <w:r w:rsidRPr="00A561E1">
        <w:t>Schedule</w:t>
      </w:r>
      <w:bookmarkEnd w:id="63"/>
    </w:p>
    <w:p w:rsidR="00E16EC9" w:rsidRPr="00A561E1" w:rsidRDefault="00E16EC9" w:rsidP="00E16EC9">
      <w:pPr>
        <w:pStyle w:val="Header"/>
        <w:rPr>
          <w:b w:val="0"/>
        </w:rPr>
      </w:pPr>
      <w:r w:rsidRPr="00A561E1">
        <w:rPr>
          <w:b w:val="0"/>
        </w:rPr>
        <w:t xml:space="preserve">In conjunction with the </w:t>
      </w:r>
      <w:r w:rsidR="00DC5C31">
        <w:rPr>
          <w:b w:val="0"/>
        </w:rPr>
        <w:t xml:space="preserve">2006 </w:t>
      </w:r>
      <w:r w:rsidRPr="00A561E1">
        <w:rPr>
          <w:b w:val="0"/>
        </w:rPr>
        <w:t>Cost Risk Assessment that was performed, the PMOC reviewed the project schedule per the requirements outlined in PMOOG No. 34 to determine the validity of the reporting/forecasting of the project completion.  To accomplish this, the PMOC completed the assessment in two parts:  fundamental soundness and forecasting accuracy.  The PMOC completed several technical exercises to assess the forecasting accuracy of the progress schedule.  These exercises focused primarily on the Mainline and Stations Contract schedule since it was the driving contract of the ROD.  The PMOC determined that there were issues with the linkage.  Subsequently, the PMOC recommended that additional technical resources be utilized to ensure that the project controls aspects were properly managed.  NCTD added these additional resources through their CM contract.</w:t>
      </w:r>
    </w:p>
    <w:p w:rsidR="00E16EC9" w:rsidRPr="00A561E1" w:rsidRDefault="00E16EC9" w:rsidP="00FF0360"/>
    <w:p w:rsidR="0044751E" w:rsidRPr="00A561E1" w:rsidRDefault="00FF0360" w:rsidP="00FF0360">
      <w:pPr>
        <w:rPr>
          <w:b/>
        </w:rPr>
      </w:pPr>
      <w:r w:rsidRPr="00A561E1">
        <w:t xml:space="preserve">The FFGA ROD of </w:t>
      </w:r>
      <w:smartTag w:uri="urn:schemas-microsoft-com:office:smarttags" w:element="date">
        <w:smartTagPr>
          <w:attr w:name="Month" w:val="12"/>
          <w:attr w:name="Day" w:val="31"/>
          <w:attr w:name="Year" w:val="2005"/>
        </w:smartTagPr>
        <w:r w:rsidRPr="00A561E1">
          <w:t>December 31, 2005</w:t>
        </w:r>
      </w:smartTag>
      <w:r w:rsidRPr="00A561E1">
        <w:t xml:space="preserve"> was in jeopardy as a result of two issues.  First, there was the delay in obtaining CPUC approval for deviations from General Order 143-B.  The deviation from the General Order was necessary due to NCTD’s procurement of DMU vehicles from Siemens, which did not fully satisfy key requirements of the General Order.  The second issue involved the “trans-loading” agreement with the BNSF that resulted in two years being added to the schedule.  These delays resulted in the need to extend the ROD.  </w:t>
      </w:r>
      <w:r w:rsidR="008E4877" w:rsidRPr="00A561E1">
        <w:t xml:space="preserve">The ARP and the proposed FFGA Amendment both identified a revised ROD of </w:t>
      </w:r>
      <w:smartTag w:uri="urn:schemas-microsoft-com:office:smarttags" w:element="date">
        <w:smartTagPr>
          <w:attr w:name="Month" w:val="7"/>
          <w:attr w:name="Day" w:val="1"/>
          <w:attr w:name="Year" w:val="2008"/>
        </w:smartTagPr>
        <w:r w:rsidR="008E4877" w:rsidRPr="00A561E1">
          <w:t>July 1, 2008</w:t>
        </w:r>
      </w:smartTag>
      <w:r w:rsidR="008E4877" w:rsidRPr="00A561E1">
        <w:t>.</w:t>
      </w:r>
    </w:p>
    <w:p w:rsidR="00A53F95" w:rsidRPr="00A561E1" w:rsidRDefault="00A53F95">
      <w:pPr>
        <w:pStyle w:val="Header"/>
        <w:rPr>
          <w:b w:val="0"/>
        </w:rPr>
      </w:pPr>
    </w:p>
    <w:p w:rsidR="00A04D78" w:rsidRPr="00A561E1" w:rsidRDefault="0044751E" w:rsidP="00A04D78">
      <w:pPr>
        <w:pStyle w:val="Header"/>
        <w:rPr>
          <w:b w:val="0"/>
        </w:rPr>
      </w:pPr>
      <w:r w:rsidRPr="00A561E1">
        <w:rPr>
          <w:b w:val="0"/>
        </w:rPr>
        <w:t>In May 2007, NCTD executed a Final Settlement Agreement with the Mainline and Stations Contractor regarding an inefficiency claim.  The cost impacts</w:t>
      </w:r>
      <w:r w:rsidR="000A1CE7" w:rsidRPr="00A561E1">
        <w:rPr>
          <w:b w:val="0"/>
        </w:rPr>
        <w:t xml:space="preserve"> </w:t>
      </w:r>
      <w:r w:rsidRPr="00A561E1">
        <w:rPr>
          <w:b w:val="0"/>
        </w:rPr>
        <w:t>from this settlement</w:t>
      </w:r>
      <w:r w:rsidR="000A1CE7" w:rsidRPr="00A561E1">
        <w:rPr>
          <w:b w:val="0"/>
        </w:rPr>
        <w:t>, which have a maximum value of $15.5M,</w:t>
      </w:r>
      <w:r w:rsidR="00C847DE" w:rsidRPr="00A561E1">
        <w:rPr>
          <w:b w:val="0"/>
        </w:rPr>
        <w:t xml:space="preserve"> </w:t>
      </w:r>
      <w:r w:rsidRPr="00A561E1">
        <w:rPr>
          <w:b w:val="0"/>
        </w:rPr>
        <w:t>have been incorporated into NCTD’s EAC.  With this agreement, a new baseline was prepared to support NCTD’s target ROD of December 2007.  The revised baseline schedule w</w:t>
      </w:r>
      <w:r w:rsidR="00516C04" w:rsidRPr="00A561E1">
        <w:rPr>
          <w:b w:val="0"/>
        </w:rPr>
        <w:t>as approved in July 2007.</w:t>
      </w:r>
      <w:r w:rsidR="00446823" w:rsidRPr="00A561E1">
        <w:rPr>
          <w:b w:val="0"/>
        </w:rPr>
        <w:t xml:space="preserve">  </w:t>
      </w:r>
      <w:r w:rsidR="00A04D78" w:rsidRPr="00A561E1">
        <w:rPr>
          <w:b w:val="0"/>
        </w:rPr>
        <w:t>There are no other significant claims anticipated on any of the remaining construction contracts that would adversely impact the schedule or budget.</w:t>
      </w:r>
    </w:p>
    <w:p w:rsidR="0044751E" w:rsidRPr="00A561E1" w:rsidRDefault="0044751E">
      <w:pPr>
        <w:pStyle w:val="Header"/>
        <w:rPr>
          <w:b w:val="0"/>
        </w:rPr>
      </w:pPr>
    </w:p>
    <w:p w:rsidR="0044751E" w:rsidRPr="00A561E1" w:rsidRDefault="00A04D78" w:rsidP="00846AC7">
      <w:r w:rsidRPr="00A561E1">
        <w:t>In</w:t>
      </w:r>
      <w:r w:rsidR="00A744FF" w:rsidRPr="00A561E1">
        <w:t xml:space="preserve"> August 2007 it was determined that NCTD’s target ROD </w:t>
      </w:r>
      <w:r w:rsidR="009F6BA0" w:rsidRPr="00A561E1">
        <w:t xml:space="preserve">for initial revenue service </w:t>
      </w:r>
      <w:r w:rsidR="00A744FF" w:rsidRPr="00A561E1">
        <w:t>was at risk</w:t>
      </w:r>
      <w:r w:rsidR="001702B4" w:rsidRPr="00A561E1">
        <w:t xml:space="preserve"> when the </w:t>
      </w:r>
      <w:r w:rsidR="0044751E" w:rsidRPr="00A561E1">
        <w:t xml:space="preserve">Mainline Contractor did not meet the first three milestone dates identified in the new baseline schedule.  </w:t>
      </w:r>
      <w:r w:rsidR="00DA1B73" w:rsidRPr="00A561E1">
        <w:t xml:space="preserve">For NCTD to begin any revenue service, they must fully complete the safety certification process to the satisfaction of the CPUC.  To achieve this, all testing and training must be complete.  </w:t>
      </w:r>
      <w:r w:rsidR="009F6BA0" w:rsidRPr="00A561E1">
        <w:t xml:space="preserve">NCTD and the contractor subsequently coordinated to identify only those components of the system that are critical to pre-revenue operations (testing / training) and safety certification.    </w:t>
      </w:r>
    </w:p>
    <w:p w:rsidR="0044751E" w:rsidRPr="00A561E1" w:rsidRDefault="0044751E" w:rsidP="00846AC7"/>
    <w:p w:rsidR="00580BDC" w:rsidRPr="00A561E1" w:rsidRDefault="00580BDC" w:rsidP="00580BDC">
      <w:r w:rsidRPr="00A561E1">
        <w:t xml:space="preserve">The ARP and the proposed FFGA Amendment both identified a revised ROD of </w:t>
      </w:r>
      <w:smartTag w:uri="urn:schemas-microsoft-com:office:smarttags" w:element="date">
        <w:smartTagPr>
          <w:attr w:name="Month" w:val="7"/>
          <w:attr w:name="Day" w:val="1"/>
          <w:attr w:name="Year" w:val="2008"/>
        </w:smartTagPr>
        <w:r w:rsidRPr="00A561E1">
          <w:t>July 1, 2008</w:t>
        </w:r>
      </w:smartTag>
      <w:r w:rsidRPr="00A561E1">
        <w:t xml:space="preserve">.  NCTD’s current target date of January 2008 for the start of initial revenue service is possible.  However, all remaining construction, testing, and operator training must succinctly execute without disruption to meet this date.  While the </w:t>
      </w:r>
      <w:r w:rsidRPr="00A561E1">
        <w:rPr>
          <w:bCs/>
        </w:rPr>
        <w:t xml:space="preserve">PMOC recognizes the difficulty in meeting NCTD’s target date for the start of revenue service, the PMOC is confident the FFGA Amendment ROD of </w:t>
      </w:r>
      <w:smartTag w:uri="urn:schemas-microsoft-com:office:smarttags" w:element="date">
        <w:smartTagPr>
          <w:attr w:name="Month" w:val="7"/>
          <w:attr w:name="Day" w:val="1"/>
          <w:attr w:name="Year" w:val="2008"/>
        </w:smartTagPr>
        <w:r w:rsidRPr="00A561E1">
          <w:rPr>
            <w:bCs/>
          </w:rPr>
          <w:t>July 1, 2008</w:t>
        </w:r>
      </w:smartTag>
      <w:r w:rsidRPr="00A561E1">
        <w:rPr>
          <w:bCs/>
        </w:rPr>
        <w:t xml:space="preserve"> </w:t>
      </w:r>
      <w:r w:rsidRPr="00A561E1">
        <w:t>can be readily achieved.  Based on the current trends, the PMOC is of the opinion that full revenue service will be accomplished by April 2008.  Additionally, the PMOC is of the opinion that closeout of the SPRINTER Project can occur by the end of 2008 based on the current status of all contracts.</w:t>
      </w:r>
    </w:p>
    <w:p w:rsidR="00580BDC" w:rsidRPr="00A561E1" w:rsidRDefault="00580BDC"/>
    <w:p w:rsidR="0044751E" w:rsidRPr="00A561E1" w:rsidRDefault="0044751E">
      <w:pPr>
        <w:pStyle w:val="Heading3"/>
      </w:pPr>
      <w:bookmarkStart w:id="64" w:name="_Toc186615029"/>
      <w:r w:rsidRPr="00A561E1">
        <w:t>Cost Estimate and Schedule Linkage</w:t>
      </w:r>
      <w:bookmarkEnd w:id="64"/>
      <w:r w:rsidRPr="00A561E1">
        <w:t xml:space="preserve"> </w:t>
      </w:r>
    </w:p>
    <w:p w:rsidR="0044751E" w:rsidRPr="00A561E1" w:rsidRDefault="0044751E">
      <w:pPr>
        <w:rPr>
          <w:bCs/>
        </w:rPr>
      </w:pPr>
      <w:r w:rsidRPr="00A561E1">
        <w:rPr>
          <w:bCs/>
        </w:rPr>
        <w:t>The Contract Units (CUs) described in FFGA Attachment 2 – Project Description are consistent with the contract units shown in Attachment 3 – Baseline Cost Estimate and Attachment 4 – Baseline Schedule.  The PMOC has verified that the cost and schedule for each C</w:t>
      </w:r>
      <w:r w:rsidR="00F267E1">
        <w:rPr>
          <w:bCs/>
        </w:rPr>
        <w:t>ontract Unit</w:t>
      </w:r>
      <w:r w:rsidRPr="00A561E1">
        <w:rPr>
          <w:bCs/>
        </w:rPr>
        <w:t xml:space="preserve"> are corroborated and represent reasonable linkages for completing the scope of the project.</w:t>
      </w:r>
    </w:p>
    <w:p w:rsidR="0044751E" w:rsidRPr="00A561E1" w:rsidRDefault="0044751E">
      <w:pPr>
        <w:rPr>
          <w:bCs/>
        </w:rPr>
      </w:pPr>
    </w:p>
    <w:p w:rsidR="0044751E" w:rsidRPr="00A561E1" w:rsidRDefault="0044751E">
      <w:pPr>
        <w:rPr>
          <w:bCs/>
        </w:rPr>
        <w:sectPr w:rsidR="0044751E" w:rsidRPr="00A561E1">
          <w:headerReference w:type="default" r:id="rId20"/>
          <w:pgSz w:w="12240" w:h="15840" w:code="1"/>
          <w:pgMar w:top="1440" w:right="1440" w:bottom="1728" w:left="1440" w:header="720" w:footer="720" w:gutter="0"/>
          <w:cols w:space="720"/>
          <w:docGrid w:linePitch="360"/>
        </w:sectPr>
      </w:pPr>
    </w:p>
    <w:p w:rsidR="0044751E" w:rsidRPr="00A561E1" w:rsidRDefault="0044751E">
      <w:pPr>
        <w:pStyle w:val="Heading2"/>
      </w:pPr>
      <w:bookmarkStart w:id="65" w:name="_Toc186615030"/>
      <w:r w:rsidRPr="00A561E1">
        <w:t>FFGA SUPPORT DOCUMENTATION ASSESSMENT</w:t>
      </w:r>
      <w:bookmarkEnd w:id="65"/>
    </w:p>
    <w:p w:rsidR="0044751E" w:rsidRPr="00A561E1" w:rsidRDefault="0044751E">
      <w:r w:rsidRPr="00A561E1">
        <w:t>FTA, through the requirements of 49 CFR 633, uses a PMOC to perform project document evaluations and assessments as part of the FFGA process to ensure successful project implementation within approved budgets and in accordance with approved plans and specifications.  The following sections provide the PMOC’s assessment of this support documentation.</w:t>
      </w:r>
    </w:p>
    <w:p w:rsidR="0044751E" w:rsidRPr="00A561E1" w:rsidRDefault="0044751E"/>
    <w:p w:rsidR="0044751E" w:rsidRPr="00A561E1" w:rsidRDefault="0044751E">
      <w:pPr>
        <w:pStyle w:val="Heading3"/>
      </w:pPr>
      <w:bookmarkStart w:id="66" w:name="_Toc186615031"/>
      <w:bookmarkStart w:id="67" w:name="_Toc25642003"/>
      <w:r w:rsidRPr="00A561E1">
        <w:t>Project Management Plan</w:t>
      </w:r>
      <w:bookmarkEnd w:id="66"/>
    </w:p>
    <w:p w:rsidR="0044751E" w:rsidRPr="00A561E1" w:rsidRDefault="0044751E">
      <w:r w:rsidRPr="00A561E1">
        <w:t xml:space="preserve">PMOOG No. 11, titled, “Technical Review of Grantee Technical Capacity and Capability” (issued March 7, 2004) requires the PMOC to evaluate Grantee management, organization and project definition data to provide a major input to FTA in determining if the grantee possesses the technical capacity and capability to efficiently and effectively implement the proposed </w:t>
      </w:r>
      <w:r w:rsidR="00433912" w:rsidRPr="00A561E1">
        <w:t>f</w:t>
      </w:r>
      <w:r w:rsidRPr="00A561E1">
        <w:t>ederal project and whether t</w:t>
      </w:r>
      <w:r w:rsidR="00433912" w:rsidRPr="00A561E1">
        <w:t>he grantee is ready to receive f</w:t>
      </w:r>
      <w:r w:rsidRPr="00A561E1">
        <w:t>ederal funds for further project development.  To determine that the grantee has the technical capacity and capability to efficiently</w:t>
      </w:r>
      <w:r w:rsidR="00433912" w:rsidRPr="00A561E1">
        <w:t xml:space="preserve"> and effectively implement the f</w:t>
      </w:r>
      <w:r w:rsidRPr="00A561E1">
        <w:t xml:space="preserve">ederal project, the PMOC reviews the grantees' MP and other management plans. </w:t>
      </w:r>
    </w:p>
    <w:p w:rsidR="0044751E" w:rsidRPr="00A561E1" w:rsidRDefault="0044751E"/>
    <w:p w:rsidR="0044751E" w:rsidRPr="00A561E1" w:rsidRDefault="0044751E">
      <w:r w:rsidRPr="00A561E1">
        <w:t>In certain cases, the FTA may also require the PMOC to re-perform such services to re-establish the grantee’s technical capacity and capability (“re-baseline”), as is the case for NCTD’s SPRINTER Project.</w:t>
      </w:r>
    </w:p>
    <w:p w:rsidR="0044751E" w:rsidRPr="00A561E1" w:rsidRDefault="0044751E"/>
    <w:p w:rsidR="0044751E" w:rsidRPr="00A561E1" w:rsidRDefault="0044751E">
      <w:r w:rsidRPr="00A561E1">
        <w:t xml:space="preserve">The PMOC evaluates the PMP to determine that it is in conformance with: </w:t>
      </w:r>
    </w:p>
    <w:p w:rsidR="0044751E" w:rsidRPr="00A561E1" w:rsidRDefault="0044751E"/>
    <w:p w:rsidR="0044751E" w:rsidRPr="00A561E1" w:rsidRDefault="0044751E">
      <w:pPr>
        <w:numPr>
          <w:ilvl w:val="0"/>
          <w:numId w:val="5"/>
        </w:numPr>
      </w:pPr>
      <w:r w:rsidRPr="00A561E1">
        <w:t>Applicable statutes, regulations, and FTA guidance inclusive of but not limited to the requirements of 49 CFR 633 (Project Management Oversight Final Rule) for PMPs, and FTA Circulars 5010 and 5200 as applicable</w:t>
      </w:r>
    </w:p>
    <w:p w:rsidR="0044751E" w:rsidRPr="00A561E1" w:rsidRDefault="0044751E">
      <w:pPr>
        <w:numPr>
          <w:ilvl w:val="0"/>
          <w:numId w:val="5"/>
        </w:numPr>
      </w:pPr>
      <w:r w:rsidRPr="00A561E1">
        <w:t>Terms of the FFGA, including the agreed upon scope, budget and schedule</w:t>
      </w:r>
    </w:p>
    <w:p w:rsidR="0044751E" w:rsidRPr="00A561E1" w:rsidRDefault="0044751E">
      <w:pPr>
        <w:numPr>
          <w:ilvl w:val="0"/>
          <w:numId w:val="5"/>
        </w:numPr>
      </w:pPr>
      <w:r w:rsidRPr="00A561E1">
        <w:t>Sound engineering and project management practices</w:t>
      </w:r>
    </w:p>
    <w:p w:rsidR="0044751E" w:rsidRPr="00A561E1" w:rsidRDefault="0044751E">
      <w:pPr>
        <w:numPr>
          <w:ilvl w:val="0"/>
          <w:numId w:val="5"/>
        </w:numPr>
      </w:pPr>
      <w:r w:rsidRPr="00A561E1">
        <w:t xml:space="preserve">FTA’s </w:t>
      </w:r>
      <w:r w:rsidRPr="00A561E1">
        <w:rPr>
          <w:i/>
        </w:rPr>
        <w:t>Project and Construction Management Guidelines</w:t>
      </w:r>
      <w:r w:rsidRPr="00A561E1">
        <w:t xml:space="preserve"> (2003 Update)</w:t>
      </w:r>
    </w:p>
    <w:p w:rsidR="0044751E" w:rsidRPr="00A561E1" w:rsidRDefault="0044751E"/>
    <w:p w:rsidR="0044751E" w:rsidRPr="00A561E1" w:rsidRDefault="0044751E">
      <w:r w:rsidRPr="00A561E1">
        <w:t>The FTA requires that Grantees develop and implement a written PMP for all major capital projects funded by FTA.  Specifically, Title 49 of the United States Code Section 5327 of Chapter 53, entitled Project Management Oversight, re</w:t>
      </w:r>
      <w:r w:rsidR="00433912" w:rsidRPr="00A561E1">
        <w:t>quires a PMP as a condition of f</w:t>
      </w:r>
      <w:r w:rsidRPr="00A561E1">
        <w:t>ederal financial assistance for major capital projects.  The required elements of a PMP are stipulated in the CFR:</w:t>
      </w:r>
    </w:p>
    <w:p w:rsidR="0044751E" w:rsidRPr="00A561E1" w:rsidRDefault="0044751E"/>
    <w:p w:rsidR="0044751E" w:rsidRPr="00A561E1" w:rsidRDefault="0044751E">
      <w:pPr>
        <w:numPr>
          <w:ilvl w:val="0"/>
          <w:numId w:val="10"/>
        </w:numPr>
      </w:pPr>
      <w:r w:rsidRPr="00A561E1">
        <w:t xml:space="preserve">Title 49 – Transportation </w:t>
      </w:r>
    </w:p>
    <w:p w:rsidR="0044751E" w:rsidRPr="00A561E1" w:rsidRDefault="0044751E">
      <w:pPr>
        <w:numPr>
          <w:ilvl w:val="0"/>
          <w:numId w:val="10"/>
        </w:numPr>
      </w:pPr>
      <w:r w:rsidRPr="00A561E1">
        <w:t>Part 633 – Project Management Oversight</w:t>
      </w:r>
    </w:p>
    <w:p w:rsidR="0044751E" w:rsidRPr="00A561E1" w:rsidRDefault="0044751E">
      <w:pPr>
        <w:numPr>
          <w:ilvl w:val="0"/>
          <w:numId w:val="10"/>
        </w:numPr>
      </w:pPr>
      <w:r w:rsidRPr="00A561E1">
        <w:t>Subpart C – Project Management Plans</w:t>
      </w:r>
    </w:p>
    <w:p w:rsidR="0044751E" w:rsidRPr="00A561E1" w:rsidRDefault="0044751E">
      <w:pPr>
        <w:numPr>
          <w:ilvl w:val="0"/>
          <w:numId w:val="10"/>
        </w:numPr>
      </w:pPr>
      <w:r w:rsidRPr="00A561E1">
        <w:t>Section 633.25 – Contents of a Project Management Plan</w:t>
      </w:r>
    </w:p>
    <w:p w:rsidR="0044751E" w:rsidRPr="00A561E1" w:rsidRDefault="0044751E"/>
    <w:p w:rsidR="0044751E" w:rsidRPr="00A561E1" w:rsidRDefault="0044751E">
      <w:r w:rsidRPr="00A561E1">
        <w:t>Moreover, the grant applicant must agree to carry out the PMP approved by FTA.  Nevertheless, the PMP is a dynamic document for managing the engineering, design, construction, and startup phases of a project.  Periodic updating is expected as the Grantee implements the project.</w:t>
      </w:r>
    </w:p>
    <w:p w:rsidR="0044751E" w:rsidRPr="00A561E1" w:rsidRDefault="0044751E"/>
    <w:p w:rsidR="0044751E" w:rsidRPr="00A561E1" w:rsidRDefault="0044751E">
      <w:r w:rsidRPr="00A561E1">
        <w:t>At a minimum, 49 CFR 633 requires that a recipient's PMP include the following items:</w:t>
      </w:r>
    </w:p>
    <w:p w:rsidR="0044751E" w:rsidRPr="00A561E1" w:rsidRDefault="0044751E"/>
    <w:p w:rsidR="0044751E" w:rsidRPr="00A561E1" w:rsidRDefault="0044751E">
      <w:pPr>
        <w:numPr>
          <w:ilvl w:val="0"/>
          <w:numId w:val="11"/>
        </w:numPr>
      </w:pPr>
      <w:r w:rsidRPr="00A561E1">
        <w:t>A description of adequate recipient staff organization, complete with well-defined reporting relationships, statements of functional responsibilities, job descriptions, and job qualifications</w:t>
      </w:r>
    </w:p>
    <w:p w:rsidR="0044751E" w:rsidRPr="00A561E1" w:rsidRDefault="0044751E">
      <w:pPr>
        <w:numPr>
          <w:ilvl w:val="0"/>
          <w:numId w:val="11"/>
        </w:numPr>
      </w:pPr>
      <w:r w:rsidRPr="00A561E1">
        <w:t>A budget covering the project management organization, appropriate consultants, property acquisition, utility relocation, systems demonstration staff, audits, and such miscellaneous costs as the recipient may be prepared to justify</w:t>
      </w:r>
    </w:p>
    <w:p w:rsidR="0044751E" w:rsidRPr="00A561E1" w:rsidRDefault="0044751E">
      <w:pPr>
        <w:numPr>
          <w:ilvl w:val="0"/>
          <w:numId w:val="11"/>
        </w:numPr>
      </w:pPr>
      <w:r w:rsidRPr="00A561E1">
        <w:t>A construction schedule</w:t>
      </w:r>
    </w:p>
    <w:p w:rsidR="0044751E" w:rsidRPr="00A561E1" w:rsidRDefault="0044751E">
      <w:pPr>
        <w:numPr>
          <w:ilvl w:val="0"/>
          <w:numId w:val="11"/>
        </w:numPr>
      </w:pPr>
      <w:r w:rsidRPr="00A561E1">
        <w:t>A document control procedure and record-keeping system</w:t>
      </w:r>
    </w:p>
    <w:p w:rsidR="0044751E" w:rsidRPr="00A561E1" w:rsidRDefault="0044751E">
      <w:pPr>
        <w:numPr>
          <w:ilvl w:val="0"/>
          <w:numId w:val="11"/>
        </w:numPr>
      </w:pPr>
      <w:r w:rsidRPr="00A561E1">
        <w:t>A change order procedure which includes a documented, systematic approach to the handling of construction change orders</w:t>
      </w:r>
    </w:p>
    <w:p w:rsidR="0044751E" w:rsidRPr="00A561E1" w:rsidRDefault="0044751E">
      <w:pPr>
        <w:numPr>
          <w:ilvl w:val="0"/>
          <w:numId w:val="11"/>
        </w:numPr>
      </w:pPr>
      <w:r w:rsidRPr="00A561E1">
        <w:t>A description of organizational structures, management skills, and staffing levels required throughout the construction phase</w:t>
      </w:r>
    </w:p>
    <w:p w:rsidR="0044751E" w:rsidRPr="00A561E1" w:rsidRDefault="0044751E">
      <w:pPr>
        <w:numPr>
          <w:ilvl w:val="0"/>
          <w:numId w:val="11"/>
        </w:numPr>
      </w:pPr>
      <w:r w:rsidRPr="00A561E1">
        <w:t>Quality control and quality assurance programs</w:t>
      </w:r>
    </w:p>
    <w:p w:rsidR="0044751E" w:rsidRPr="00A561E1" w:rsidRDefault="0044751E">
      <w:pPr>
        <w:numPr>
          <w:ilvl w:val="0"/>
          <w:numId w:val="11"/>
        </w:numPr>
      </w:pPr>
      <w:r w:rsidRPr="00A561E1">
        <w:t>Material testing policies and procedures</w:t>
      </w:r>
    </w:p>
    <w:p w:rsidR="0044751E" w:rsidRPr="00A561E1" w:rsidRDefault="0044751E">
      <w:pPr>
        <w:numPr>
          <w:ilvl w:val="0"/>
          <w:numId w:val="11"/>
        </w:numPr>
      </w:pPr>
      <w:r w:rsidRPr="00A561E1">
        <w:t>Plan for internal reporting requirements including cost and schedule control procedures</w:t>
      </w:r>
    </w:p>
    <w:p w:rsidR="0044751E" w:rsidRPr="00A561E1" w:rsidRDefault="0044751E">
      <w:pPr>
        <w:numPr>
          <w:ilvl w:val="0"/>
          <w:numId w:val="11"/>
        </w:numPr>
      </w:pPr>
      <w:r w:rsidRPr="00A561E1">
        <w:t>Criteria and procedures used for testing the operational system or its major components</w:t>
      </w:r>
    </w:p>
    <w:p w:rsidR="0044751E" w:rsidRPr="00A561E1" w:rsidRDefault="0044751E">
      <w:pPr>
        <w:numPr>
          <w:ilvl w:val="0"/>
          <w:numId w:val="11"/>
        </w:numPr>
      </w:pPr>
      <w:r w:rsidRPr="00A561E1">
        <w:t>Periodic updates of the Plan</w:t>
      </w:r>
    </w:p>
    <w:p w:rsidR="0044751E" w:rsidRPr="00A561E1" w:rsidRDefault="0044751E">
      <w:pPr>
        <w:numPr>
          <w:ilvl w:val="0"/>
          <w:numId w:val="11"/>
        </w:numPr>
      </w:pPr>
      <w:r w:rsidRPr="00A561E1">
        <w:t>The recipient’s commitment to make monthly submission of project budget and project schedule to the Secretary</w:t>
      </w:r>
    </w:p>
    <w:p w:rsidR="0044751E" w:rsidRPr="00A561E1" w:rsidRDefault="0044751E"/>
    <w:p w:rsidR="0044751E" w:rsidRPr="00A561E1" w:rsidRDefault="0044751E">
      <w:r w:rsidRPr="00A561E1">
        <w:t>Additional requirements are outlined in Section 633.27 of 49 CFR 633 (Subpart C) regarding the implementation of a project management plan as follows:</w:t>
      </w:r>
    </w:p>
    <w:p w:rsidR="0044751E" w:rsidRPr="00A561E1" w:rsidRDefault="0044751E"/>
    <w:p w:rsidR="0044751E" w:rsidRPr="00A561E1" w:rsidRDefault="0044751E">
      <w:pPr>
        <w:numPr>
          <w:ilvl w:val="0"/>
          <w:numId w:val="12"/>
        </w:numPr>
      </w:pPr>
      <w:r w:rsidRPr="00A561E1">
        <w:t>Upon approval of a project management plan by the Secretary the recipient shall begin implementing the plan</w:t>
      </w:r>
    </w:p>
    <w:p w:rsidR="0044751E" w:rsidRPr="00A561E1" w:rsidRDefault="0044751E">
      <w:pPr>
        <w:numPr>
          <w:ilvl w:val="0"/>
          <w:numId w:val="12"/>
        </w:numPr>
      </w:pPr>
      <w:r w:rsidRPr="00A561E1">
        <w:t>If a recipient must modify an approved project management plan, the recipient shall submit the proposed changes to the Secretary along with an explanation of the need for the changes</w:t>
      </w:r>
    </w:p>
    <w:p w:rsidR="0044751E" w:rsidRPr="00A561E1" w:rsidRDefault="0044751E">
      <w:pPr>
        <w:numPr>
          <w:ilvl w:val="0"/>
          <w:numId w:val="12"/>
        </w:numPr>
      </w:pPr>
      <w:r w:rsidRPr="00A561E1">
        <w:t>A recipient shall submit periodic updates of the project management plan to the Secretary that include, but are not be limited to, the following:</w:t>
      </w:r>
    </w:p>
    <w:p w:rsidR="0044751E" w:rsidRPr="00A561E1" w:rsidRDefault="0044751E">
      <w:pPr>
        <w:numPr>
          <w:ilvl w:val="0"/>
          <w:numId w:val="14"/>
        </w:numPr>
      </w:pPr>
      <w:r w:rsidRPr="00A561E1">
        <w:t>Project budget</w:t>
      </w:r>
    </w:p>
    <w:p w:rsidR="0044751E" w:rsidRPr="00A561E1" w:rsidRDefault="0044751E">
      <w:pPr>
        <w:numPr>
          <w:ilvl w:val="0"/>
          <w:numId w:val="14"/>
        </w:numPr>
      </w:pPr>
      <w:r w:rsidRPr="00A561E1">
        <w:t>Project schedule</w:t>
      </w:r>
    </w:p>
    <w:p w:rsidR="0044751E" w:rsidRPr="00A561E1" w:rsidRDefault="0044751E">
      <w:pPr>
        <w:numPr>
          <w:ilvl w:val="0"/>
          <w:numId w:val="14"/>
        </w:numPr>
      </w:pPr>
      <w:r w:rsidRPr="00A561E1">
        <w:t>Financing, both capital and operating</w:t>
      </w:r>
    </w:p>
    <w:p w:rsidR="0044751E" w:rsidRPr="00A561E1" w:rsidRDefault="0044751E">
      <w:pPr>
        <w:numPr>
          <w:ilvl w:val="0"/>
          <w:numId w:val="14"/>
        </w:numPr>
      </w:pPr>
      <w:r w:rsidRPr="00A561E1">
        <w:t>Ridership estimates, including operating plan</w:t>
      </w:r>
    </w:p>
    <w:p w:rsidR="0044751E" w:rsidRPr="00A561E1" w:rsidRDefault="0044751E">
      <w:pPr>
        <w:numPr>
          <w:ilvl w:val="0"/>
          <w:numId w:val="14"/>
        </w:numPr>
      </w:pPr>
      <w:r w:rsidRPr="00A561E1">
        <w:t>Where applicable, the status of local efforts to enhance ridership when estimates are contingent, in part, upon the success of such efforts</w:t>
      </w:r>
    </w:p>
    <w:p w:rsidR="0044751E" w:rsidRPr="00A561E1" w:rsidRDefault="0044751E">
      <w:pPr>
        <w:numPr>
          <w:ilvl w:val="0"/>
          <w:numId w:val="13"/>
        </w:numPr>
      </w:pPr>
      <w:r w:rsidRPr="00A561E1">
        <w:t>A recipient shall submit current data on a major capital project's budget and schedule to the Secretary on a monthly basis</w:t>
      </w:r>
    </w:p>
    <w:p w:rsidR="0044751E" w:rsidRPr="00A561E1" w:rsidRDefault="0044751E"/>
    <w:p w:rsidR="0044751E" w:rsidRPr="00A561E1" w:rsidRDefault="0044751E">
      <w:r w:rsidRPr="00A561E1">
        <w:t xml:space="preserve">NCTD’s project-specific PMP was conditionally approved for use during final design on </w:t>
      </w:r>
      <w:smartTag w:uri="urn:schemas-microsoft-com:office:smarttags" w:element="date">
        <w:smartTagPr>
          <w:attr w:name="Month" w:val="12"/>
          <w:attr w:name="Day" w:val="23"/>
          <w:attr w:name="Year" w:val="1999"/>
        </w:smartTagPr>
        <w:r w:rsidRPr="00A561E1">
          <w:t>December 23, 1999</w:t>
        </w:r>
      </w:smartTag>
      <w:r w:rsidRPr="00A561E1">
        <w:t xml:space="preserve">.  NCTD submitted a DRAFT PMP for use during construction on </w:t>
      </w:r>
      <w:smartTag w:uri="urn:schemas-microsoft-com:office:smarttags" w:element="date">
        <w:smartTagPr>
          <w:attr w:name="Month" w:val="1"/>
          <w:attr w:name="Day" w:val="16"/>
          <w:attr w:name="Year" w:val="2004"/>
        </w:smartTagPr>
        <w:r w:rsidRPr="00A561E1">
          <w:t>January 16, 2004</w:t>
        </w:r>
      </w:smartTag>
      <w:r w:rsidRPr="00A561E1">
        <w:t xml:space="preserve">. The construction-phase PMP (Revision No. 4) was submitted </w:t>
      </w:r>
      <w:smartTag w:uri="urn:schemas-microsoft-com:office:smarttags" w:element="date">
        <w:smartTagPr>
          <w:attr w:name="Month" w:val="7"/>
          <w:attr w:name="Day" w:val="7"/>
          <w:attr w:name="Year" w:val="2004"/>
        </w:smartTagPr>
        <w:r w:rsidRPr="00A561E1">
          <w:t>July 7, 2004</w:t>
        </w:r>
      </w:smartTag>
      <w:r w:rsidRPr="00A561E1">
        <w:t xml:space="preserve">.  The PMOC submitted </w:t>
      </w:r>
      <w:r w:rsidR="00DC654F" w:rsidRPr="00A561E1">
        <w:t xml:space="preserve">Spot Report #6 </w:t>
      </w:r>
      <w:r w:rsidRPr="00A561E1">
        <w:t xml:space="preserve">to FTA on </w:t>
      </w:r>
      <w:smartTag w:uri="urn:schemas-microsoft-com:office:smarttags" w:element="date">
        <w:smartTagPr>
          <w:attr w:name="Month" w:val="7"/>
          <w:attr w:name="Day" w:val="27"/>
          <w:attr w:name="Year" w:val="2004"/>
        </w:smartTagPr>
        <w:r w:rsidRPr="00A561E1">
          <w:t>July 27, 2004</w:t>
        </w:r>
      </w:smartTag>
      <w:r w:rsidRPr="00A561E1">
        <w:t xml:space="preserve"> recommending approval of the PMP.  The FTA approved the PMP on </w:t>
      </w:r>
      <w:smartTag w:uri="urn:schemas-microsoft-com:office:smarttags" w:element="date">
        <w:smartTagPr>
          <w:attr w:name="Month" w:val="8"/>
          <w:attr w:name="Day" w:val="12"/>
          <w:attr w:name="Year" w:val="2004"/>
        </w:smartTagPr>
        <w:r w:rsidRPr="00A561E1">
          <w:t>August 12, 2004</w:t>
        </w:r>
      </w:smartTag>
      <w:r w:rsidRPr="00A561E1">
        <w:t>.</w:t>
      </w:r>
    </w:p>
    <w:p w:rsidR="0044751E" w:rsidRPr="00A561E1" w:rsidRDefault="0044751E"/>
    <w:p w:rsidR="0044751E" w:rsidRPr="00A561E1" w:rsidRDefault="0044751E">
      <w:r w:rsidRPr="00A561E1">
        <w:t xml:space="preserve">NCTD submitted DRAFT Revision No. 5 of the PMP on </w:t>
      </w:r>
      <w:smartTag w:uri="urn:schemas-microsoft-com:office:smarttags" w:element="date">
        <w:smartTagPr>
          <w:attr w:name="Month" w:val="9"/>
          <w:attr w:name="Day" w:val="8"/>
          <w:attr w:name="Year" w:val="2006"/>
        </w:smartTagPr>
        <w:r w:rsidRPr="00A561E1">
          <w:t>September 8, 2006</w:t>
        </w:r>
      </w:smartTag>
      <w:r w:rsidRPr="00A561E1">
        <w:t xml:space="preserve">.  This update of the PMP was required to address NCTD’s technical capacity and capability as it related to the ARP.  PMOC review comments were provided to NCTD on </w:t>
      </w:r>
      <w:smartTag w:uri="urn:schemas-microsoft-com:office:smarttags" w:element="date">
        <w:smartTagPr>
          <w:attr w:name="Month" w:val="11"/>
          <w:attr w:name="Day" w:val="1"/>
          <w:attr w:name="Year" w:val="2006"/>
        </w:smartTagPr>
        <w:r w:rsidRPr="00A561E1">
          <w:t>November 1, 2006</w:t>
        </w:r>
      </w:smartTag>
      <w:r w:rsidRPr="00A561E1">
        <w:t xml:space="preserve">.  NCTD submitted an updated Revision No. 5 on </w:t>
      </w:r>
      <w:smartTag w:uri="urn:schemas-microsoft-com:office:smarttags" w:element="date">
        <w:smartTagPr>
          <w:attr w:name="Month" w:val="12"/>
          <w:attr w:name="Day" w:val="21"/>
          <w:attr w:name="Year" w:val="2006"/>
        </w:smartTagPr>
        <w:r w:rsidRPr="00A561E1">
          <w:t>December 21, 2006</w:t>
        </w:r>
      </w:smartTag>
      <w:r w:rsidRPr="00A561E1">
        <w:t>.  The PMOC reviewed NCTD’s updated Revision No. 5 to ensure that it satisfies each FTA requirement for a PMP. The review follows:</w:t>
      </w:r>
    </w:p>
    <w:p w:rsidR="0044751E" w:rsidRPr="00A561E1" w:rsidRDefault="0044751E"/>
    <w:p w:rsidR="0044751E" w:rsidRPr="00A561E1" w:rsidRDefault="0044751E">
      <w:pPr>
        <w:pStyle w:val="Heading4"/>
      </w:pPr>
      <w:r w:rsidRPr="00A561E1">
        <w:t>Organization and Staffing</w:t>
      </w:r>
    </w:p>
    <w:p w:rsidR="0044751E" w:rsidRPr="00A561E1" w:rsidRDefault="0044751E">
      <w:pPr>
        <w:ind w:left="720"/>
        <w:rPr>
          <w:rFonts w:cs="Arial"/>
        </w:rPr>
      </w:pPr>
      <w:r w:rsidRPr="00A561E1">
        <w:rPr>
          <w:b/>
          <w:bCs/>
        </w:rPr>
        <w:t>PMP:</w:t>
      </w:r>
      <w:r w:rsidRPr="00A561E1">
        <w:t xml:space="preserve">  </w:t>
      </w:r>
      <w:r w:rsidRPr="00A561E1">
        <w:rPr>
          <w:rFonts w:cs="Arial"/>
        </w:rPr>
        <w:t>The Project organization and management approach are primarily discussed in Section 2.0 of the PMP and addresses the following:</w:t>
      </w:r>
    </w:p>
    <w:p w:rsidR="0044751E" w:rsidRPr="00A561E1" w:rsidRDefault="0044751E">
      <w:pPr>
        <w:ind w:left="720"/>
        <w:rPr>
          <w:rFonts w:cs="Arial"/>
        </w:rPr>
      </w:pPr>
    </w:p>
    <w:p w:rsidR="0044751E" w:rsidRPr="00A561E1" w:rsidRDefault="0044751E">
      <w:pPr>
        <w:numPr>
          <w:ilvl w:val="0"/>
          <w:numId w:val="16"/>
        </w:numPr>
      </w:pPr>
      <w:r w:rsidRPr="00A561E1">
        <w:rPr>
          <w:rFonts w:cs="Arial"/>
        </w:rPr>
        <w:t>NCTD agency organization charts (NCTD Directors and Rail Services Group Management)</w:t>
      </w:r>
    </w:p>
    <w:p w:rsidR="0044751E" w:rsidRPr="00A561E1" w:rsidRDefault="0044751E">
      <w:pPr>
        <w:numPr>
          <w:ilvl w:val="0"/>
          <w:numId w:val="16"/>
        </w:numPr>
      </w:pPr>
      <w:r w:rsidRPr="00A561E1">
        <w:rPr>
          <w:rFonts w:cs="Arial"/>
        </w:rPr>
        <w:t>SPRINTER Project staff organization</w:t>
      </w:r>
    </w:p>
    <w:p w:rsidR="0044751E" w:rsidRPr="00A561E1" w:rsidRDefault="0044751E">
      <w:pPr>
        <w:numPr>
          <w:ilvl w:val="0"/>
          <w:numId w:val="16"/>
        </w:numPr>
      </w:pPr>
      <w:r w:rsidRPr="00A561E1">
        <w:rPr>
          <w:rFonts w:cs="Arial"/>
        </w:rPr>
        <w:t>NCTD Capital Project Construction Department</w:t>
      </w:r>
    </w:p>
    <w:p w:rsidR="0044751E" w:rsidRPr="00A561E1" w:rsidRDefault="0044751E">
      <w:pPr>
        <w:numPr>
          <w:ilvl w:val="0"/>
          <w:numId w:val="16"/>
        </w:numPr>
      </w:pPr>
      <w:r w:rsidRPr="00A561E1">
        <w:rPr>
          <w:rFonts w:cs="Arial"/>
        </w:rPr>
        <w:t>NCTD SPRINTER Project team responsibilities</w:t>
      </w:r>
    </w:p>
    <w:p w:rsidR="0044751E" w:rsidRPr="00A561E1" w:rsidRDefault="0044751E">
      <w:pPr>
        <w:numPr>
          <w:ilvl w:val="0"/>
          <w:numId w:val="16"/>
        </w:numPr>
      </w:pPr>
      <w:r w:rsidRPr="00A561E1">
        <w:rPr>
          <w:rFonts w:cs="Arial"/>
        </w:rPr>
        <w:t>Summary of the staffing added in conjunction with the ARP to ensure adequate technical capacity of the project team</w:t>
      </w:r>
    </w:p>
    <w:p w:rsidR="0044751E" w:rsidRPr="00A561E1" w:rsidRDefault="0044751E">
      <w:pPr>
        <w:numPr>
          <w:ilvl w:val="0"/>
          <w:numId w:val="16"/>
        </w:numPr>
      </w:pPr>
      <w:r w:rsidRPr="00A561E1">
        <w:rPr>
          <w:rFonts w:cs="Arial"/>
        </w:rPr>
        <w:t>Detailed discussion on the organizational structure specific to management of construction activities.</w:t>
      </w:r>
    </w:p>
    <w:p w:rsidR="0044751E" w:rsidRPr="00A561E1" w:rsidRDefault="0044751E"/>
    <w:p w:rsidR="0044751E" w:rsidRPr="00A561E1" w:rsidRDefault="0044751E">
      <w:pPr>
        <w:ind w:left="720"/>
      </w:pPr>
      <w:r w:rsidRPr="00A561E1">
        <w:rPr>
          <w:b/>
          <w:bCs/>
        </w:rPr>
        <w:t>PMOC Comments:</w:t>
      </w:r>
      <w:r w:rsidRPr="00A561E1">
        <w:t xml:space="preserve">  The updated PMP reflects the current organizational structure used to manage the project and identifies additional staffing required per the ARP.  The requirement for the plan has been satisfactorily addressed.  In terms of implementation, all positions were filled by November 2006.  </w:t>
      </w:r>
    </w:p>
    <w:p w:rsidR="0044751E" w:rsidRPr="00A561E1" w:rsidRDefault="0044751E"/>
    <w:p w:rsidR="0044751E" w:rsidRPr="00A561E1" w:rsidRDefault="0044751E">
      <w:pPr>
        <w:pStyle w:val="Heading4"/>
      </w:pPr>
      <w:r w:rsidRPr="00A561E1">
        <w:t>Project Budget</w:t>
      </w:r>
    </w:p>
    <w:p w:rsidR="0044751E" w:rsidRPr="00A561E1" w:rsidRDefault="0044751E">
      <w:pPr>
        <w:pStyle w:val="BodyTextIndent2"/>
        <w:ind w:left="720"/>
      </w:pPr>
      <w:r w:rsidRPr="00A561E1">
        <w:rPr>
          <w:b/>
          <w:bCs/>
        </w:rPr>
        <w:t>PMP:</w:t>
      </w:r>
      <w:r w:rsidRPr="00A561E1">
        <w:t xml:space="preserve">  Section 3.0 addresses the project budget, funding for the project, project administration, control of budget and schedule, cost management, and cash flow.  The budget is $484.1M for the Total Project.  Funding components are shown in the following table.</w:t>
      </w:r>
    </w:p>
    <w:p w:rsidR="0044751E" w:rsidRPr="00A561E1" w:rsidRDefault="0044751E">
      <w:pPr>
        <w:pStyle w:val="BodyTextIndent2"/>
        <w:ind w:left="720"/>
      </w:pPr>
    </w:p>
    <w:p w:rsidR="0044751E" w:rsidRPr="00A561E1" w:rsidRDefault="0044751E">
      <w:pPr>
        <w:pStyle w:val="Caption"/>
      </w:pPr>
      <w:bookmarkStart w:id="68" w:name="_Toc186615055"/>
      <w:r w:rsidRPr="00A561E1">
        <w:t xml:space="preserve">Table </w:t>
      </w:r>
      <w:fldSimple w:instr=" SEQ Table \* ARABIC ">
        <w:r w:rsidR="00F01E8C">
          <w:rPr>
            <w:noProof/>
          </w:rPr>
          <w:t>6</w:t>
        </w:r>
      </w:fldSimple>
      <w:r w:rsidRPr="00A561E1">
        <w:t>.</w:t>
      </w:r>
      <w:r w:rsidRPr="00A561E1">
        <w:tab/>
        <w:t>Funding Sources</w:t>
      </w:r>
      <w:bookmarkEnd w:id="68"/>
    </w:p>
    <w:tbl>
      <w:tblPr>
        <w:tblStyle w:val="TableGrid"/>
        <w:tblW w:w="0" w:type="auto"/>
        <w:jc w:val="center"/>
        <w:tblLook w:val="01E0" w:firstRow="1" w:lastRow="1" w:firstColumn="1" w:lastColumn="1" w:noHBand="0" w:noVBand="0"/>
      </w:tblPr>
      <w:tblGrid>
        <w:gridCol w:w="5225"/>
        <w:gridCol w:w="1389"/>
        <w:gridCol w:w="1389"/>
      </w:tblGrid>
      <w:tr w:rsidR="004369DD" w:rsidRPr="00A561E1">
        <w:trPr>
          <w:jc w:val="center"/>
        </w:trPr>
        <w:tc>
          <w:tcPr>
            <w:tcW w:w="5225" w:type="dxa"/>
            <w:tcBorders>
              <w:bottom w:val="single" w:sz="4" w:space="0" w:color="auto"/>
            </w:tcBorders>
            <w:vAlign w:val="center"/>
          </w:tcPr>
          <w:p w:rsidR="004369DD" w:rsidRPr="00A561E1" w:rsidRDefault="004369DD" w:rsidP="00EE29A9">
            <w:pPr>
              <w:pStyle w:val="BodyTextIndent2"/>
              <w:keepNext/>
              <w:ind w:left="0"/>
              <w:jc w:val="center"/>
              <w:rPr>
                <w:b/>
                <w:sz w:val="20"/>
                <w:szCs w:val="20"/>
              </w:rPr>
            </w:pPr>
            <w:r w:rsidRPr="00A561E1">
              <w:rPr>
                <w:b/>
                <w:sz w:val="20"/>
                <w:szCs w:val="20"/>
              </w:rPr>
              <w:t>Source</w:t>
            </w:r>
          </w:p>
        </w:tc>
        <w:tc>
          <w:tcPr>
            <w:tcW w:w="1389" w:type="dxa"/>
            <w:tcBorders>
              <w:bottom w:val="single" w:sz="4" w:space="0" w:color="auto"/>
            </w:tcBorders>
            <w:vAlign w:val="center"/>
          </w:tcPr>
          <w:p w:rsidR="004369DD" w:rsidRPr="00A561E1" w:rsidRDefault="004369DD" w:rsidP="00EE29A9">
            <w:pPr>
              <w:pStyle w:val="BodyTextIndent2"/>
              <w:keepNext/>
              <w:ind w:left="0"/>
              <w:jc w:val="center"/>
              <w:rPr>
                <w:b/>
                <w:sz w:val="20"/>
                <w:szCs w:val="20"/>
              </w:rPr>
            </w:pPr>
            <w:r w:rsidRPr="00A561E1">
              <w:rPr>
                <w:b/>
                <w:sz w:val="20"/>
                <w:szCs w:val="20"/>
              </w:rPr>
              <w:t>FFGA</w:t>
            </w:r>
            <w:r w:rsidR="0080221D" w:rsidRPr="00A561E1">
              <w:rPr>
                <w:b/>
                <w:sz w:val="20"/>
                <w:szCs w:val="20"/>
              </w:rPr>
              <w:t xml:space="preserve"> (M)</w:t>
            </w:r>
          </w:p>
        </w:tc>
        <w:tc>
          <w:tcPr>
            <w:tcW w:w="1389" w:type="dxa"/>
            <w:tcBorders>
              <w:bottom w:val="single" w:sz="4" w:space="0" w:color="auto"/>
            </w:tcBorders>
            <w:vAlign w:val="center"/>
          </w:tcPr>
          <w:p w:rsidR="004369DD" w:rsidRPr="00A561E1" w:rsidRDefault="00EE29A9" w:rsidP="00EE29A9">
            <w:pPr>
              <w:pStyle w:val="BodyTextIndent2"/>
              <w:keepNext/>
              <w:ind w:left="0"/>
              <w:jc w:val="center"/>
              <w:rPr>
                <w:b/>
                <w:sz w:val="20"/>
                <w:szCs w:val="20"/>
              </w:rPr>
            </w:pPr>
            <w:r w:rsidRPr="00A561E1">
              <w:rPr>
                <w:b/>
                <w:sz w:val="20"/>
                <w:szCs w:val="20"/>
              </w:rPr>
              <w:t xml:space="preserve">Amended </w:t>
            </w:r>
            <w:r w:rsidR="004369DD" w:rsidRPr="00A561E1">
              <w:rPr>
                <w:b/>
                <w:sz w:val="20"/>
                <w:szCs w:val="20"/>
              </w:rPr>
              <w:t>FFGA</w:t>
            </w:r>
            <w:r w:rsidR="0080221D" w:rsidRPr="00A561E1">
              <w:rPr>
                <w:b/>
                <w:sz w:val="20"/>
                <w:szCs w:val="20"/>
              </w:rPr>
              <w:t xml:space="preserve"> (M)</w:t>
            </w:r>
          </w:p>
        </w:tc>
      </w:tr>
      <w:tr w:rsidR="004369DD" w:rsidRPr="00A561E1">
        <w:trPr>
          <w:jc w:val="center"/>
        </w:trPr>
        <w:tc>
          <w:tcPr>
            <w:tcW w:w="5225" w:type="dxa"/>
            <w:tcBorders>
              <w:right w:val="nil"/>
            </w:tcBorders>
          </w:tcPr>
          <w:p w:rsidR="004369DD" w:rsidRPr="00A561E1" w:rsidRDefault="004369DD">
            <w:pPr>
              <w:pStyle w:val="BodyTextIndent2"/>
              <w:keepNext/>
              <w:ind w:left="0"/>
              <w:rPr>
                <w:b/>
                <w:sz w:val="20"/>
                <w:szCs w:val="20"/>
              </w:rPr>
            </w:pPr>
            <w:r w:rsidRPr="00A561E1">
              <w:rPr>
                <w:b/>
                <w:sz w:val="20"/>
                <w:szCs w:val="20"/>
              </w:rPr>
              <w:t>Federal</w:t>
            </w:r>
          </w:p>
        </w:tc>
        <w:tc>
          <w:tcPr>
            <w:tcW w:w="1389" w:type="dxa"/>
            <w:tcBorders>
              <w:left w:val="nil"/>
              <w:right w:val="nil"/>
            </w:tcBorders>
          </w:tcPr>
          <w:p w:rsidR="004369DD" w:rsidRPr="00A561E1" w:rsidRDefault="004369DD">
            <w:pPr>
              <w:pStyle w:val="BodyTextIndent2"/>
              <w:keepNext/>
              <w:ind w:left="0"/>
              <w:jc w:val="right"/>
              <w:rPr>
                <w:sz w:val="20"/>
                <w:szCs w:val="20"/>
              </w:rPr>
            </w:pPr>
          </w:p>
        </w:tc>
        <w:tc>
          <w:tcPr>
            <w:tcW w:w="1389" w:type="dxa"/>
            <w:tcBorders>
              <w:left w:val="nil"/>
            </w:tcBorders>
          </w:tcPr>
          <w:p w:rsidR="004369DD" w:rsidRPr="00A561E1" w:rsidRDefault="004369DD">
            <w:pPr>
              <w:pStyle w:val="BodyTextIndent2"/>
              <w:keepNext/>
              <w:ind w:left="0"/>
              <w:jc w:val="right"/>
              <w:rPr>
                <w:sz w:val="20"/>
                <w:szCs w:val="20"/>
              </w:rPr>
            </w:pPr>
          </w:p>
        </w:tc>
      </w:tr>
      <w:tr w:rsidR="004369DD" w:rsidRPr="00A561E1">
        <w:trPr>
          <w:jc w:val="center"/>
        </w:trPr>
        <w:tc>
          <w:tcPr>
            <w:tcW w:w="5225" w:type="dxa"/>
          </w:tcPr>
          <w:p w:rsidR="004369DD" w:rsidRPr="00A561E1" w:rsidRDefault="004369DD">
            <w:pPr>
              <w:pStyle w:val="BodyTextIndent2"/>
              <w:keepNext/>
              <w:ind w:left="0"/>
              <w:rPr>
                <w:sz w:val="20"/>
                <w:szCs w:val="20"/>
              </w:rPr>
            </w:pPr>
            <w:r w:rsidRPr="00A561E1">
              <w:rPr>
                <w:sz w:val="20"/>
                <w:szCs w:val="20"/>
              </w:rPr>
              <w:tab/>
              <w:t>Section 5309 (New Starts)</w:t>
            </w:r>
          </w:p>
        </w:tc>
        <w:tc>
          <w:tcPr>
            <w:tcW w:w="1389" w:type="dxa"/>
          </w:tcPr>
          <w:p w:rsidR="004369DD" w:rsidRPr="00A561E1" w:rsidRDefault="0080221D">
            <w:pPr>
              <w:pStyle w:val="BodyTextIndent2"/>
              <w:keepNext/>
              <w:ind w:left="0"/>
              <w:jc w:val="right"/>
              <w:rPr>
                <w:sz w:val="20"/>
                <w:szCs w:val="20"/>
              </w:rPr>
            </w:pPr>
            <w:r w:rsidRPr="00A561E1">
              <w:rPr>
                <w:sz w:val="20"/>
                <w:szCs w:val="20"/>
              </w:rPr>
              <w:t>$152.1</w:t>
            </w:r>
          </w:p>
        </w:tc>
        <w:tc>
          <w:tcPr>
            <w:tcW w:w="1389" w:type="dxa"/>
          </w:tcPr>
          <w:p w:rsidR="004369DD" w:rsidRPr="00A561E1" w:rsidRDefault="004369DD">
            <w:pPr>
              <w:pStyle w:val="BodyTextIndent2"/>
              <w:keepNext/>
              <w:ind w:left="0"/>
              <w:jc w:val="right"/>
              <w:rPr>
                <w:sz w:val="20"/>
                <w:szCs w:val="20"/>
              </w:rPr>
            </w:pPr>
            <w:r w:rsidRPr="00A561E1">
              <w:rPr>
                <w:sz w:val="20"/>
                <w:szCs w:val="20"/>
              </w:rPr>
              <w:t>$152.1</w:t>
            </w:r>
          </w:p>
        </w:tc>
      </w:tr>
      <w:tr w:rsidR="00376D92" w:rsidRPr="00A561E1">
        <w:trPr>
          <w:jc w:val="center"/>
        </w:trPr>
        <w:tc>
          <w:tcPr>
            <w:tcW w:w="5225" w:type="dxa"/>
            <w:tcBorders>
              <w:bottom w:val="single" w:sz="4" w:space="0" w:color="auto"/>
            </w:tcBorders>
          </w:tcPr>
          <w:p w:rsidR="00376D92" w:rsidRPr="00A561E1" w:rsidRDefault="00376D92">
            <w:pPr>
              <w:pStyle w:val="BodyTextIndent2"/>
              <w:keepNext/>
              <w:ind w:left="0"/>
              <w:rPr>
                <w:b/>
                <w:sz w:val="20"/>
                <w:szCs w:val="20"/>
              </w:rPr>
            </w:pPr>
            <w:r w:rsidRPr="00A561E1">
              <w:rPr>
                <w:b/>
                <w:sz w:val="20"/>
                <w:szCs w:val="20"/>
              </w:rPr>
              <w:tab/>
              <w:t>Subtotal Federal</w:t>
            </w:r>
          </w:p>
        </w:tc>
        <w:tc>
          <w:tcPr>
            <w:tcW w:w="1389" w:type="dxa"/>
            <w:tcBorders>
              <w:bottom w:val="single" w:sz="4" w:space="0" w:color="auto"/>
            </w:tcBorders>
          </w:tcPr>
          <w:p w:rsidR="00376D92" w:rsidRPr="00A561E1" w:rsidRDefault="00502CAB">
            <w:pPr>
              <w:pStyle w:val="BodyTextIndent2"/>
              <w:keepNext/>
              <w:ind w:left="0"/>
              <w:jc w:val="right"/>
              <w:rPr>
                <w:b/>
                <w:sz w:val="20"/>
                <w:szCs w:val="20"/>
              </w:rPr>
            </w:pPr>
            <w:r w:rsidRPr="00A561E1">
              <w:rPr>
                <w:b/>
                <w:sz w:val="20"/>
                <w:szCs w:val="20"/>
              </w:rPr>
              <w:t>$15</w:t>
            </w:r>
            <w:r w:rsidR="0077265C" w:rsidRPr="00A561E1">
              <w:rPr>
                <w:b/>
                <w:sz w:val="20"/>
                <w:szCs w:val="20"/>
              </w:rPr>
              <w:t>2.1</w:t>
            </w:r>
          </w:p>
        </w:tc>
        <w:tc>
          <w:tcPr>
            <w:tcW w:w="1389" w:type="dxa"/>
            <w:tcBorders>
              <w:bottom w:val="single" w:sz="4" w:space="0" w:color="auto"/>
            </w:tcBorders>
          </w:tcPr>
          <w:p w:rsidR="00376D92" w:rsidRPr="00A561E1" w:rsidRDefault="00376D92">
            <w:pPr>
              <w:pStyle w:val="BodyTextIndent2"/>
              <w:keepNext/>
              <w:ind w:left="0"/>
              <w:jc w:val="right"/>
              <w:rPr>
                <w:b/>
                <w:sz w:val="20"/>
                <w:szCs w:val="20"/>
              </w:rPr>
            </w:pPr>
            <w:r w:rsidRPr="00A561E1">
              <w:rPr>
                <w:sz w:val="20"/>
                <w:szCs w:val="20"/>
              </w:rPr>
              <w:t>$</w:t>
            </w:r>
            <w:r w:rsidRPr="00A561E1">
              <w:rPr>
                <w:b/>
                <w:sz w:val="20"/>
                <w:szCs w:val="20"/>
              </w:rPr>
              <w:t>15</w:t>
            </w:r>
            <w:r w:rsidR="0077265C" w:rsidRPr="00A561E1">
              <w:rPr>
                <w:b/>
                <w:sz w:val="20"/>
                <w:szCs w:val="20"/>
              </w:rPr>
              <w:t>2</w:t>
            </w:r>
            <w:r w:rsidRPr="00A561E1">
              <w:rPr>
                <w:b/>
                <w:sz w:val="20"/>
                <w:szCs w:val="20"/>
              </w:rPr>
              <w:t>.</w:t>
            </w:r>
            <w:r w:rsidR="00502CAB" w:rsidRPr="00A561E1">
              <w:rPr>
                <w:b/>
                <w:sz w:val="20"/>
                <w:szCs w:val="20"/>
              </w:rPr>
              <w:t>1</w:t>
            </w:r>
          </w:p>
        </w:tc>
      </w:tr>
      <w:tr w:rsidR="00376D92" w:rsidRPr="00A561E1">
        <w:trPr>
          <w:jc w:val="center"/>
        </w:trPr>
        <w:tc>
          <w:tcPr>
            <w:tcW w:w="5225" w:type="dxa"/>
            <w:tcBorders>
              <w:right w:val="nil"/>
            </w:tcBorders>
          </w:tcPr>
          <w:p w:rsidR="00376D92" w:rsidRPr="00A561E1" w:rsidRDefault="00376D92">
            <w:pPr>
              <w:pStyle w:val="BodyTextIndent2"/>
              <w:keepNext/>
              <w:ind w:left="0"/>
              <w:rPr>
                <w:b/>
                <w:sz w:val="20"/>
                <w:szCs w:val="20"/>
              </w:rPr>
            </w:pPr>
            <w:r w:rsidRPr="00A561E1">
              <w:rPr>
                <w:b/>
                <w:sz w:val="20"/>
                <w:szCs w:val="20"/>
              </w:rPr>
              <w:t>State</w:t>
            </w:r>
          </w:p>
        </w:tc>
        <w:tc>
          <w:tcPr>
            <w:tcW w:w="1389" w:type="dxa"/>
            <w:tcBorders>
              <w:left w:val="nil"/>
              <w:right w:val="nil"/>
            </w:tcBorders>
          </w:tcPr>
          <w:p w:rsidR="00376D92" w:rsidRPr="00A561E1" w:rsidRDefault="00376D92">
            <w:pPr>
              <w:pStyle w:val="BodyTextIndent2"/>
              <w:keepNext/>
              <w:ind w:left="0"/>
              <w:jc w:val="right"/>
              <w:rPr>
                <w:sz w:val="20"/>
                <w:szCs w:val="20"/>
              </w:rPr>
            </w:pPr>
          </w:p>
        </w:tc>
        <w:tc>
          <w:tcPr>
            <w:tcW w:w="1389" w:type="dxa"/>
            <w:tcBorders>
              <w:left w:val="nil"/>
            </w:tcBorders>
          </w:tcPr>
          <w:p w:rsidR="00376D92" w:rsidRPr="00A561E1" w:rsidRDefault="00376D92">
            <w:pPr>
              <w:pStyle w:val="BodyTextIndent2"/>
              <w:keepNext/>
              <w:ind w:left="0"/>
              <w:jc w:val="right"/>
              <w:rPr>
                <w:sz w:val="20"/>
                <w:szCs w:val="20"/>
              </w:rPr>
            </w:pPr>
          </w:p>
        </w:tc>
      </w:tr>
      <w:tr w:rsidR="00376D92" w:rsidRPr="00A561E1">
        <w:trPr>
          <w:jc w:val="center"/>
        </w:trPr>
        <w:tc>
          <w:tcPr>
            <w:tcW w:w="5225" w:type="dxa"/>
          </w:tcPr>
          <w:p w:rsidR="00376D92" w:rsidRPr="00A561E1" w:rsidRDefault="00376D92">
            <w:pPr>
              <w:pStyle w:val="BodyTextIndent2"/>
              <w:keepNext/>
              <w:ind w:left="0"/>
              <w:rPr>
                <w:sz w:val="20"/>
                <w:szCs w:val="20"/>
              </w:rPr>
            </w:pPr>
            <w:r w:rsidRPr="00A561E1">
              <w:rPr>
                <w:sz w:val="20"/>
                <w:szCs w:val="20"/>
              </w:rPr>
              <w:tab/>
              <w:t>Proposition 108</w:t>
            </w:r>
          </w:p>
        </w:tc>
        <w:tc>
          <w:tcPr>
            <w:tcW w:w="1389" w:type="dxa"/>
          </w:tcPr>
          <w:p w:rsidR="00376D92" w:rsidRPr="00A561E1" w:rsidRDefault="00376D92">
            <w:pPr>
              <w:pStyle w:val="BodyTextIndent2"/>
              <w:keepNext/>
              <w:ind w:left="0"/>
              <w:jc w:val="right"/>
              <w:rPr>
                <w:sz w:val="20"/>
                <w:szCs w:val="20"/>
              </w:rPr>
            </w:pPr>
            <w:r w:rsidRPr="00A561E1">
              <w:rPr>
                <w:sz w:val="20"/>
                <w:szCs w:val="20"/>
              </w:rPr>
              <w:t>$17.6</w:t>
            </w:r>
          </w:p>
        </w:tc>
        <w:tc>
          <w:tcPr>
            <w:tcW w:w="1389" w:type="dxa"/>
          </w:tcPr>
          <w:p w:rsidR="00376D92" w:rsidRPr="00A561E1" w:rsidRDefault="00376D92">
            <w:pPr>
              <w:pStyle w:val="BodyTextIndent2"/>
              <w:keepNext/>
              <w:ind w:left="0"/>
              <w:jc w:val="right"/>
              <w:rPr>
                <w:sz w:val="20"/>
                <w:szCs w:val="20"/>
              </w:rPr>
            </w:pPr>
            <w:r w:rsidRPr="00A561E1">
              <w:rPr>
                <w:sz w:val="20"/>
                <w:szCs w:val="20"/>
              </w:rPr>
              <w:t>$17.6</w:t>
            </w:r>
          </w:p>
        </w:tc>
      </w:tr>
      <w:tr w:rsidR="00376D92" w:rsidRPr="00A561E1">
        <w:trPr>
          <w:jc w:val="center"/>
        </w:trPr>
        <w:tc>
          <w:tcPr>
            <w:tcW w:w="5225" w:type="dxa"/>
          </w:tcPr>
          <w:p w:rsidR="00376D92" w:rsidRPr="00A561E1" w:rsidRDefault="00376D92" w:rsidP="0044751E">
            <w:pPr>
              <w:pStyle w:val="BodyTextIndent2"/>
              <w:keepNext/>
              <w:ind w:left="0"/>
              <w:rPr>
                <w:sz w:val="20"/>
                <w:szCs w:val="20"/>
              </w:rPr>
            </w:pPr>
            <w:r w:rsidRPr="00A561E1">
              <w:rPr>
                <w:sz w:val="20"/>
                <w:szCs w:val="20"/>
              </w:rPr>
              <w:tab/>
              <w:t>State Transportation Improvement Program</w:t>
            </w:r>
          </w:p>
        </w:tc>
        <w:tc>
          <w:tcPr>
            <w:tcW w:w="1389" w:type="dxa"/>
          </w:tcPr>
          <w:p w:rsidR="00376D92" w:rsidRPr="00A561E1" w:rsidRDefault="00376D92" w:rsidP="0044751E">
            <w:pPr>
              <w:pStyle w:val="BodyTextIndent2"/>
              <w:keepNext/>
              <w:ind w:left="0"/>
              <w:jc w:val="right"/>
              <w:rPr>
                <w:sz w:val="20"/>
                <w:szCs w:val="20"/>
              </w:rPr>
            </w:pPr>
            <w:r w:rsidRPr="00A561E1">
              <w:rPr>
                <w:sz w:val="20"/>
                <w:szCs w:val="20"/>
              </w:rPr>
              <w:t>$6.6</w:t>
            </w:r>
          </w:p>
        </w:tc>
        <w:tc>
          <w:tcPr>
            <w:tcW w:w="1389" w:type="dxa"/>
          </w:tcPr>
          <w:p w:rsidR="00376D92" w:rsidRPr="00A561E1" w:rsidRDefault="00376D92" w:rsidP="0044751E">
            <w:pPr>
              <w:pStyle w:val="BodyTextIndent2"/>
              <w:keepNext/>
              <w:ind w:left="0"/>
              <w:jc w:val="right"/>
              <w:rPr>
                <w:sz w:val="20"/>
                <w:szCs w:val="20"/>
              </w:rPr>
            </w:pPr>
            <w:r w:rsidRPr="00A561E1">
              <w:rPr>
                <w:sz w:val="20"/>
                <w:szCs w:val="20"/>
              </w:rPr>
              <w:t>$6.6</w:t>
            </w:r>
          </w:p>
        </w:tc>
      </w:tr>
      <w:tr w:rsidR="00376D92" w:rsidRPr="00A561E1">
        <w:trPr>
          <w:jc w:val="center"/>
        </w:trPr>
        <w:tc>
          <w:tcPr>
            <w:tcW w:w="5225" w:type="dxa"/>
          </w:tcPr>
          <w:p w:rsidR="00376D92" w:rsidRPr="00A561E1" w:rsidRDefault="00376D92" w:rsidP="0044751E">
            <w:pPr>
              <w:pStyle w:val="BodyTextIndent2"/>
              <w:keepNext/>
              <w:ind w:left="0"/>
              <w:rPr>
                <w:sz w:val="20"/>
                <w:szCs w:val="20"/>
              </w:rPr>
            </w:pPr>
            <w:r w:rsidRPr="00A561E1">
              <w:rPr>
                <w:sz w:val="20"/>
                <w:szCs w:val="20"/>
              </w:rPr>
              <w:tab/>
              <w:t>State Transit Assistance</w:t>
            </w:r>
          </w:p>
        </w:tc>
        <w:tc>
          <w:tcPr>
            <w:tcW w:w="1389" w:type="dxa"/>
          </w:tcPr>
          <w:p w:rsidR="00376D92" w:rsidRPr="00A561E1" w:rsidRDefault="00376D92" w:rsidP="0044751E">
            <w:pPr>
              <w:pStyle w:val="BodyTextIndent2"/>
              <w:keepNext/>
              <w:ind w:left="0"/>
              <w:jc w:val="right"/>
              <w:rPr>
                <w:sz w:val="20"/>
                <w:szCs w:val="20"/>
              </w:rPr>
            </w:pPr>
            <w:r w:rsidRPr="00A561E1">
              <w:rPr>
                <w:sz w:val="20"/>
                <w:szCs w:val="20"/>
              </w:rPr>
              <w:t>-</w:t>
            </w:r>
          </w:p>
        </w:tc>
        <w:tc>
          <w:tcPr>
            <w:tcW w:w="1389" w:type="dxa"/>
          </w:tcPr>
          <w:p w:rsidR="00376D92" w:rsidRPr="00A561E1" w:rsidRDefault="00376D92" w:rsidP="0044751E">
            <w:pPr>
              <w:pStyle w:val="BodyTextIndent2"/>
              <w:keepNext/>
              <w:ind w:left="0"/>
              <w:jc w:val="right"/>
              <w:rPr>
                <w:sz w:val="20"/>
                <w:szCs w:val="20"/>
              </w:rPr>
            </w:pPr>
            <w:r w:rsidRPr="00A561E1">
              <w:rPr>
                <w:sz w:val="20"/>
                <w:szCs w:val="20"/>
              </w:rPr>
              <w:t>$5.5</w:t>
            </w:r>
          </w:p>
        </w:tc>
      </w:tr>
      <w:tr w:rsidR="00376D92" w:rsidRPr="00A561E1">
        <w:trPr>
          <w:jc w:val="center"/>
        </w:trPr>
        <w:tc>
          <w:tcPr>
            <w:tcW w:w="5225" w:type="dxa"/>
          </w:tcPr>
          <w:p w:rsidR="00376D92" w:rsidRPr="00A561E1" w:rsidRDefault="00376D92" w:rsidP="0044751E">
            <w:pPr>
              <w:pStyle w:val="BodyTextIndent2"/>
              <w:keepNext/>
              <w:ind w:left="0"/>
              <w:rPr>
                <w:sz w:val="20"/>
                <w:szCs w:val="20"/>
              </w:rPr>
            </w:pPr>
            <w:r w:rsidRPr="00A561E1">
              <w:rPr>
                <w:sz w:val="20"/>
                <w:szCs w:val="20"/>
              </w:rPr>
              <w:tab/>
              <w:t xml:space="preserve">State Transit Assistance </w:t>
            </w:r>
            <w:r w:rsidR="00502CAB" w:rsidRPr="00A561E1">
              <w:rPr>
                <w:sz w:val="20"/>
                <w:szCs w:val="20"/>
              </w:rPr>
              <w:t>–</w:t>
            </w:r>
            <w:r w:rsidRPr="00A561E1">
              <w:rPr>
                <w:sz w:val="20"/>
                <w:szCs w:val="20"/>
              </w:rPr>
              <w:t xml:space="preserve"> Bond</w:t>
            </w:r>
          </w:p>
        </w:tc>
        <w:tc>
          <w:tcPr>
            <w:tcW w:w="1389" w:type="dxa"/>
          </w:tcPr>
          <w:p w:rsidR="00376D92" w:rsidRPr="00A561E1" w:rsidRDefault="00376D92" w:rsidP="0044751E">
            <w:pPr>
              <w:pStyle w:val="BodyTextIndent2"/>
              <w:keepNext/>
              <w:ind w:left="0"/>
              <w:jc w:val="right"/>
              <w:rPr>
                <w:sz w:val="20"/>
                <w:szCs w:val="20"/>
              </w:rPr>
            </w:pPr>
            <w:r w:rsidRPr="00A561E1">
              <w:rPr>
                <w:sz w:val="20"/>
                <w:szCs w:val="20"/>
              </w:rPr>
              <w:t>-</w:t>
            </w:r>
          </w:p>
        </w:tc>
        <w:tc>
          <w:tcPr>
            <w:tcW w:w="1389" w:type="dxa"/>
          </w:tcPr>
          <w:p w:rsidR="00376D92" w:rsidRPr="00A561E1" w:rsidRDefault="00376D92" w:rsidP="0044751E">
            <w:pPr>
              <w:pStyle w:val="BodyTextIndent2"/>
              <w:keepNext/>
              <w:ind w:left="0"/>
              <w:jc w:val="right"/>
              <w:rPr>
                <w:sz w:val="20"/>
                <w:szCs w:val="20"/>
              </w:rPr>
            </w:pPr>
            <w:r w:rsidRPr="00A561E1">
              <w:rPr>
                <w:sz w:val="20"/>
                <w:szCs w:val="20"/>
              </w:rPr>
              <w:t>$50.0</w:t>
            </w:r>
          </w:p>
        </w:tc>
      </w:tr>
      <w:tr w:rsidR="00376D92" w:rsidRPr="00A561E1">
        <w:trPr>
          <w:jc w:val="center"/>
        </w:trPr>
        <w:tc>
          <w:tcPr>
            <w:tcW w:w="5225" w:type="dxa"/>
          </w:tcPr>
          <w:p w:rsidR="00376D92" w:rsidRPr="00A561E1" w:rsidRDefault="00376D92">
            <w:pPr>
              <w:pStyle w:val="BodyTextIndent2"/>
              <w:keepNext/>
              <w:ind w:left="0"/>
              <w:rPr>
                <w:sz w:val="20"/>
                <w:szCs w:val="20"/>
              </w:rPr>
            </w:pPr>
            <w:r w:rsidRPr="00A561E1">
              <w:rPr>
                <w:sz w:val="20"/>
                <w:szCs w:val="20"/>
              </w:rPr>
              <w:tab/>
            </w:r>
            <w:r w:rsidR="00502CAB" w:rsidRPr="00A561E1">
              <w:rPr>
                <w:sz w:val="20"/>
                <w:szCs w:val="20"/>
              </w:rPr>
              <w:t>Traffic C</w:t>
            </w:r>
            <w:r w:rsidRPr="00A561E1">
              <w:rPr>
                <w:sz w:val="20"/>
                <w:szCs w:val="20"/>
              </w:rPr>
              <w:t xml:space="preserve">ongestion </w:t>
            </w:r>
            <w:r w:rsidR="00502CAB" w:rsidRPr="00A561E1">
              <w:rPr>
                <w:sz w:val="20"/>
                <w:szCs w:val="20"/>
              </w:rPr>
              <w:t>R</w:t>
            </w:r>
            <w:r w:rsidRPr="00A561E1">
              <w:rPr>
                <w:sz w:val="20"/>
                <w:szCs w:val="20"/>
              </w:rPr>
              <w:t xml:space="preserve">elief </w:t>
            </w:r>
            <w:r w:rsidR="00502CAB" w:rsidRPr="00A561E1">
              <w:rPr>
                <w:sz w:val="20"/>
                <w:szCs w:val="20"/>
              </w:rPr>
              <w:t>P</w:t>
            </w:r>
            <w:r w:rsidRPr="00A561E1">
              <w:rPr>
                <w:sz w:val="20"/>
                <w:szCs w:val="20"/>
              </w:rPr>
              <w:t>rogram</w:t>
            </w:r>
          </w:p>
        </w:tc>
        <w:tc>
          <w:tcPr>
            <w:tcW w:w="1389" w:type="dxa"/>
          </w:tcPr>
          <w:p w:rsidR="00376D92" w:rsidRPr="00A561E1" w:rsidRDefault="00376D92">
            <w:pPr>
              <w:pStyle w:val="BodyTextIndent2"/>
              <w:keepNext/>
              <w:ind w:left="0"/>
              <w:jc w:val="right"/>
              <w:rPr>
                <w:sz w:val="20"/>
                <w:szCs w:val="20"/>
              </w:rPr>
            </w:pPr>
            <w:r w:rsidRPr="00A561E1">
              <w:rPr>
                <w:sz w:val="20"/>
                <w:szCs w:val="20"/>
              </w:rPr>
              <w:t>$80.0</w:t>
            </w:r>
          </w:p>
        </w:tc>
        <w:tc>
          <w:tcPr>
            <w:tcW w:w="1389" w:type="dxa"/>
          </w:tcPr>
          <w:p w:rsidR="00376D92" w:rsidRPr="00A561E1" w:rsidRDefault="00376D92">
            <w:pPr>
              <w:pStyle w:val="BodyTextIndent2"/>
              <w:keepNext/>
              <w:ind w:left="0"/>
              <w:jc w:val="right"/>
              <w:rPr>
                <w:sz w:val="20"/>
                <w:szCs w:val="20"/>
              </w:rPr>
            </w:pPr>
            <w:r w:rsidRPr="00A561E1">
              <w:rPr>
                <w:sz w:val="20"/>
                <w:szCs w:val="20"/>
              </w:rPr>
              <w:t>$80.0</w:t>
            </w:r>
          </w:p>
        </w:tc>
      </w:tr>
      <w:tr w:rsidR="00376D92" w:rsidRPr="00A561E1">
        <w:trPr>
          <w:jc w:val="center"/>
        </w:trPr>
        <w:tc>
          <w:tcPr>
            <w:tcW w:w="5225" w:type="dxa"/>
            <w:tcBorders>
              <w:bottom w:val="single" w:sz="4" w:space="0" w:color="auto"/>
            </w:tcBorders>
          </w:tcPr>
          <w:p w:rsidR="00376D92" w:rsidRPr="00A561E1" w:rsidRDefault="00376D92">
            <w:pPr>
              <w:pStyle w:val="BodyTextIndent2"/>
              <w:keepNext/>
              <w:ind w:left="0"/>
              <w:rPr>
                <w:b/>
                <w:sz w:val="20"/>
                <w:szCs w:val="20"/>
              </w:rPr>
            </w:pPr>
            <w:r w:rsidRPr="00A561E1">
              <w:rPr>
                <w:b/>
                <w:sz w:val="20"/>
                <w:szCs w:val="20"/>
              </w:rPr>
              <w:tab/>
            </w:r>
            <w:smartTag w:uri="urn:schemas-microsoft-com:office:smarttags" w:element="place">
              <w:smartTag w:uri="urn:schemas-microsoft-com:office:smarttags" w:element="PlaceName">
                <w:r w:rsidRPr="00A561E1">
                  <w:rPr>
                    <w:b/>
                    <w:sz w:val="20"/>
                    <w:szCs w:val="20"/>
                  </w:rPr>
                  <w:t>Subtotal</w:t>
                </w:r>
              </w:smartTag>
              <w:r w:rsidRPr="00A561E1">
                <w:rPr>
                  <w:b/>
                  <w:sz w:val="20"/>
                  <w:szCs w:val="20"/>
                </w:rPr>
                <w:t xml:space="preserve"> </w:t>
              </w:r>
              <w:smartTag w:uri="urn:schemas-microsoft-com:office:smarttags" w:element="PlaceType">
                <w:r w:rsidRPr="00A561E1">
                  <w:rPr>
                    <w:b/>
                    <w:sz w:val="20"/>
                    <w:szCs w:val="20"/>
                  </w:rPr>
                  <w:t>State</w:t>
                </w:r>
              </w:smartTag>
            </w:smartTag>
          </w:p>
        </w:tc>
        <w:tc>
          <w:tcPr>
            <w:tcW w:w="1389" w:type="dxa"/>
            <w:tcBorders>
              <w:bottom w:val="single" w:sz="4" w:space="0" w:color="auto"/>
            </w:tcBorders>
          </w:tcPr>
          <w:p w:rsidR="00376D92" w:rsidRPr="00A561E1" w:rsidRDefault="00376D92">
            <w:pPr>
              <w:pStyle w:val="BodyTextIndent2"/>
              <w:keepNext/>
              <w:ind w:left="0"/>
              <w:jc w:val="right"/>
              <w:rPr>
                <w:b/>
                <w:sz w:val="20"/>
                <w:szCs w:val="20"/>
              </w:rPr>
            </w:pPr>
            <w:r w:rsidRPr="00A561E1">
              <w:rPr>
                <w:b/>
                <w:sz w:val="20"/>
                <w:szCs w:val="20"/>
              </w:rPr>
              <w:t>$104.2</w:t>
            </w:r>
          </w:p>
        </w:tc>
        <w:tc>
          <w:tcPr>
            <w:tcW w:w="1389" w:type="dxa"/>
            <w:tcBorders>
              <w:bottom w:val="single" w:sz="4" w:space="0" w:color="auto"/>
            </w:tcBorders>
          </w:tcPr>
          <w:p w:rsidR="00376D92" w:rsidRPr="00A561E1" w:rsidRDefault="00376D92">
            <w:pPr>
              <w:pStyle w:val="BodyTextIndent2"/>
              <w:keepNext/>
              <w:ind w:left="0"/>
              <w:jc w:val="right"/>
              <w:rPr>
                <w:b/>
                <w:sz w:val="20"/>
                <w:szCs w:val="20"/>
              </w:rPr>
            </w:pPr>
            <w:r w:rsidRPr="00A561E1">
              <w:rPr>
                <w:sz w:val="20"/>
                <w:szCs w:val="20"/>
              </w:rPr>
              <w:t>$</w:t>
            </w:r>
            <w:r w:rsidRPr="00A561E1">
              <w:rPr>
                <w:b/>
                <w:sz w:val="20"/>
                <w:szCs w:val="20"/>
              </w:rPr>
              <w:t>159.7</w:t>
            </w:r>
          </w:p>
        </w:tc>
      </w:tr>
      <w:tr w:rsidR="00376D92" w:rsidRPr="00A561E1">
        <w:trPr>
          <w:jc w:val="center"/>
        </w:trPr>
        <w:tc>
          <w:tcPr>
            <w:tcW w:w="5225" w:type="dxa"/>
            <w:tcBorders>
              <w:right w:val="nil"/>
            </w:tcBorders>
          </w:tcPr>
          <w:p w:rsidR="00376D92" w:rsidRPr="00A561E1" w:rsidRDefault="00376D92">
            <w:pPr>
              <w:pStyle w:val="BodyTextIndent2"/>
              <w:keepNext/>
              <w:ind w:left="0"/>
              <w:rPr>
                <w:b/>
                <w:sz w:val="20"/>
                <w:szCs w:val="20"/>
              </w:rPr>
            </w:pPr>
            <w:r w:rsidRPr="00A561E1">
              <w:rPr>
                <w:b/>
                <w:sz w:val="20"/>
                <w:szCs w:val="20"/>
              </w:rPr>
              <w:t>Local</w:t>
            </w:r>
          </w:p>
        </w:tc>
        <w:tc>
          <w:tcPr>
            <w:tcW w:w="1389" w:type="dxa"/>
            <w:tcBorders>
              <w:left w:val="nil"/>
              <w:right w:val="nil"/>
            </w:tcBorders>
          </w:tcPr>
          <w:p w:rsidR="00376D92" w:rsidRPr="00A561E1" w:rsidRDefault="00376D92">
            <w:pPr>
              <w:pStyle w:val="BodyTextIndent2"/>
              <w:keepNext/>
              <w:ind w:left="0"/>
              <w:jc w:val="right"/>
              <w:rPr>
                <w:sz w:val="20"/>
                <w:szCs w:val="20"/>
              </w:rPr>
            </w:pPr>
          </w:p>
        </w:tc>
        <w:tc>
          <w:tcPr>
            <w:tcW w:w="1389" w:type="dxa"/>
            <w:tcBorders>
              <w:left w:val="nil"/>
            </w:tcBorders>
          </w:tcPr>
          <w:p w:rsidR="00376D92" w:rsidRPr="00A561E1" w:rsidRDefault="00376D92">
            <w:pPr>
              <w:pStyle w:val="BodyTextIndent2"/>
              <w:keepNext/>
              <w:ind w:left="0"/>
              <w:jc w:val="right"/>
              <w:rPr>
                <w:sz w:val="20"/>
                <w:szCs w:val="20"/>
              </w:rPr>
            </w:pPr>
          </w:p>
        </w:tc>
      </w:tr>
      <w:tr w:rsidR="00376D92" w:rsidRPr="00A561E1">
        <w:trPr>
          <w:jc w:val="center"/>
        </w:trPr>
        <w:tc>
          <w:tcPr>
            <w:tcW w:w="5225" w:type="dxa"/>
          </w:tcPr>
          <w:p w:rsidR="00376D92" w:rsidRPr="00A561E1" w:rsidRDefault="00376D92">
            <w:pPr>
              <w:pStyle w:val="BodyTextIndent2"/>
              <w:keepNext/>
              <w:ind w:left="0"/>
              <w:rPr>
                <w:sz w:val="20"/>
                <w:szCs w:val="20"/>
              </w:rPr>
            </w:pPr>
            <w:r w:rsidRPr="00A561E1">
              <w:rPr>
                <w:sz w:val="20"/>
                <w:szCs w:val="20"/>
              </w:rPr>
              <w:tab/>
            </w:r>
            <w:proofErr w:type="spellStart"/>
            <w:r w:rsidRPr="00A561E1">
              <w:rPr>
                <w:sz w:val="20"/>
                <w:szCs w:val="20"/>
              </w:rPr>
              <w:t>TransNet</w:t>
            </w:r>
            <w:proofErr w:type="spellEnd"/>
          </w:p>
        </w:tc>
        <w:tc>
          <w:tcPr>
            <w:tcW w:w="1389" w:type="dxa"/>
          </w:tcPr>
          <w:p w:rsidR="00376D92" w:rsidRPr="00A561E1" w:rsidRDefault="00376D92">
            <w:pPr>
              <w:pStyle w:val="BodyTextIndent2"/>
              <w:keepNext/>
              <w:ind w:left="0"/>
              <w:jc w:val="right"/>
              <w:rPr>
                <w:sz w:val="20"/>
                <w:szCs w:val="20"/>
              </w:rPr>
            </w:pPr>
            <w:r w:rsidRPr="00A561E1">
              <w:rPr>
                <w:sz w:val="20"/>
                <w:szCs w:val="20"/>
              </w:rPr>
              <w:t>$90.3</w:t>
            </w:r>
          </w:p>
        </w:tc>
        <w:tc>
          <w:tcPr>
            <w:tcW w:w="1389" w:type="dxa"/>
          </w:tcPr>
          <w:p w:rsidR="00376D92" w:rsidRPr="00A561E1" w:rsidRDefault="00376D92">
            <w:pPr>
              <w:pStyle w:val="BodyTextIndent2"/>
              <w:keepNext/>
              <w:ind w:left="0"/>
              <w:jc w:val="right"/>
              <w:rPr>
                <w:sz w:val="20"/>
                <w:szCs w:val="20"/>
              </w:rPr>
            </w:pPr>
            <w:r w:rsidRPr="00A561E1">
              <w:rPr>
                <w:sz w:val="20"/>
                <w:szCs w:val="20"/>
              </w:rPr>
              <w:t>$111.6</w:t>
            </w:r>
          </w:p>
        </w:tc>
      </w:tr>
      <w:tr w:rsidR="00376D92" w:rsidRPr="00A561E1">
        <w:trPr>
          <w:jc w:val="center"/>
        </w:trPr>
        <w:tc>
          <w:tcPr>
            <w:tcW w:w="5225" w:type="dxa"/>
          </w:tcPr>
          <w:p w:rsidR="00376D92" w:rsidRPr="00A561E1" w:rsidRDefault="00376D92" w:rsidP="0044751E">
            <w:pPr>
              <w:pStyle w:val="BodyTextIndent2"/>
              <w:keepNext/>
              <w:ind w:left="0"/>
              <w:rPr>
                <w:sz w:val="20"/>
                <w:szCs w:val="20"/>
              </w:rPr>
            </w:pPr>
            <w:r w:rsidRPr="00A561E1">
              <w:rPr>
                <w:sz w:val="20"/>
                <w:szCs w:val="20"/>
              </w:rPr>
              <w:tab/>
            </w:r>
            <w:proofErr w:type="spellStart"/>
            <w:r w:rsidRPr="00A561E1">
              <w:rPr>
                <w:sz w:val="20"/>
                <w:szCs w:val="20"/>
              </w:rPr>
              <w:t>TransNet</w:t>
            </w:r>
            <w:proofErr w:type="spellEnd"/>
            <w:r w:rsidRPr="00A561E1">
              <w:rPr>
                <w:sz w:val="20"/>
                <w:szCs w:val="20"/>
              </w:rPr>
              <w:t xml:space="preserve"> Extension</w:t>
            </w:r>
          </w:p>
        </w:tc>
        <w:tc>
          <w:tcPr>
            <w:tcW w:w="1389" w:type="dxa"/>
          </w:tcPr>
          <w:p w:rsidR="00376D92" w:rsidRPr="00A561E1" w:rsidRDefault="00376D92" w:rsidP="0044751E">
            <w:pPr>
              <w:pStyle w:val="BodyTextIndent2"/>
              <w:keepNext/>
              <w:ind w:left="0"/>
              <w:jc w:val="right"/>
              <w:rPr>
                <w:sz w:val="20"/>
                <w:szCs w:val="20"/>
              </w:rPr>
            </w:pPr>
            <w:r w:rsidRPr="00A561E1">
              <w:rPr>
                <w:sz w:val="20"/>
                <w:szCs w:val="20"/>
              </w:rPr>
              <w:t>-</w:t>
            </w:r>
          </w:p>
        </w:tc>
        <w:tc>
          <w:tcPr>
            <w:tcW w:w="1389" w:type="dxa"/>
          </w:tcPr>
          <w:p w:rsidR="00376D92" w:rsidRPr="00A561E1" w:rsidRDefault="00376D92" w:rsidP="0044751E">
            <w:pPr>
              <w:pStyle w:val="BodyTextIndent2"/>
              <w:keepNext/>
              <w:ind w:left="0"/>
              <w:jc w:val="right"/>
              <w:rPr>
                <w:sz w:val="20"/>
                <w:szCs w:val="20"/>
              </w:rPr>
            </w:pPr>
            <w:r w:rsidRPr="00A561E1">
              <w:rPr>
                <w:sz w:val="20"/>
                <w:szCs w:val="20"/>
              </w:rPr>
              <w:t>$24.1</w:t>
            </w:r>
          </w:p>
        </w:tc>
      </w:tr>
      <w:tr w:rsidR="00376D92" w:rsidRPr="00A561E1">
        <w:trPr>
          <w:jc w:val="center"/>
        </w:trPr>
        <w:tc>
          <w:tcPr>
            <w:tcW w:w="5225" w:type="dxa"/>
          </w:tcPr>
          <w:p w:rsidR="00376D92" w:rsidRPr="00A561E1" w:rsidRDefault="00376D92" w:rsidP="0044751E">
            <w:pPr>
              <w:pStyle w:val="BodyTextIndent2"/>
              <w:keepNext/>
              <w:ind w:left="0"/>
              <w:rPr>
                <w:sz w:val="20"/>
                <w:szCs w:val="20"/>
              </w:rPr>
            </w:pPr>
            <w:r w:rsidRPr="00A561E1">
              <w:rPr>
                <w:sz w:val="20"/>
                <w:szCs w:val="20"/>
              </w:rPr>
              <w:tab/>
              <w:t>NCTD Capital Reserves</w:t>
            </w:r>
          </w:p>
        </w:tc>
        <w:tc>
          <w:tcPr>
            <w:tcW w:w="1389" w:type="dxa"/>
          </w:tcPr>
          <w:p w:rsidR="00376D92" w:rsidRPr="00A561E1" w:rsidRDefault="00376D92" w:rsidP="0044751E">
            <w:pPr>
              <w:pStyle w:val="BodyTextIndent2"/>
              <w:keepNext/>
              <w:ind w:left="0"/>
              <w:jc w:val="right"/>
              <w:rPr>
                <w:sz w:val="20"/>
                <w:szCs w:val="20"/>
              </w:rPr>
            </w:pPr>
            <w:r w:rsidRPr="00A561E1">
              <w:rPr>
                <w:sz w:val="20"/>
                <w:szCs w:val="20"/>
              </w:rPr>
              <w:t>-</w:t>
            </w:r>
          </w:p>
        </w:tc>
        <w:tc>
          <w:tcPr>
            <w:tcW w:w="1389" w:type="dxa"/>
          </w:tcPr>
          <w:p w:rsidR="00376D92" w:rsidRPr="00A561E1" w:rsidRDefault="00376D92" w:rsidP="0044751E">
            <w:pPr>
              <w:pStyle w:val="BodyTextIndent2"/>
              <w:keepNext/>
              <w:ind w:left="0"/>
              <w:jc w:val="right"/>
              <w:rPr>
                <w:sz w:val="20"/>
                <w:szCs w:val="20"/>
              </w:rPr>
            </w:pPr>
            <w:r w:rsidRPr="00A561E1">
              <w:rPr>
                <w:sz w:val="20"/>
                <w:szCs w:val="20"/>
              </w:rPr>
              <w:t>$5.4</w:t>
            </w:r>
          </w:p>
        </w:tc>
      </w:tr>
      <w:tr w:rsidR="00376D92" w:rsidRPr="00A561E1">
        <w:trPr>
          <w:jc w:val="center"/>
        </w:trPr>
        <w:tc>
          <w:tcPr>
            <w:tcW w:w="5225" w:type="dxa"/>
          </w:tcPr>
          <w:p w:rsidR="00376D92" w:rsidRPr="00A561E1" w:rsidRDefault="00376D92">
            <w:pPr>
              <w:pStyle w:val="BodyTextIndent2"/>
              <w:keepNext/>
              <w:ind w:left="0"/>
              <w:rPr>
                <w:sz w:val="20"/>
                <w:szCs w:val="20"/>
              </w:rPr>
            </w:pPr>
            <w:r w:rsidRPr="00A561E1">
              <w:rPr>
                <w:sz w:val="20"/>
                <w:szCs w:val="20"/>
              </w:rPr>
              <w:tab/>
              <w:t>NCTD Bond Proceeds</w:t>
            </w:r>
          </w:p>
        </w:tc>
        <w:tc>
          <w:tcPr>
            <w:tcW w:w="1389" w:type="dxa"/>
          </w:tcPr>
          <w:p w:rsidR="00376D92" w:rsidRPr="00A561E1" w:rsidRDefault="00376D92">
            <w:pPr>
              <w:pStyle w:val="BodyTextIndent2"/>
              <w:keepNext/>
              <w:ind w:left="0"/>
              <w:jc w:val="right"/>
              <w:rPr>
                <w:sz w:val="20"/>
                <w:szCs w:val="20"/>
              </w:rPr>
            </w:pPr>
            <w:r w:rsidRPr="00A561E1">
              <w:rPr>
                <w:sz w:val="20"/>
                <w:szCs w:val="20"/>
              </w:rPr>
              <w:t>-</w:t>
            </w:r>
          </w:p>
        </w:tc>
        <w:tc>
          <w:tcPr>
            <w:tcW w:w="1389" w:type="dxa"/>
          </w:tcPr>
          <w:p w:rsidR="00376D92" w:rsidRPr="00A561E1" w:rsidRDefault="00376D92">
            <w:pPr>
              <w:pStyle w:val="BodyTextIndent2"/>
              <w:keepNext/>
              <w:ind w:left="0"/>
              <w:jc w:val="right"/>
              <w:rPr>
                <w:sz w:val="20"/>
                <w:szCs w:val="20"/>
              </w:rPr>
            </w:pPr>
            <w:r w:rsidRPr="00A561E1">
              <w:rPr>
                <w:sz w:val="20"/>
                <w:szCs w:val="20"/>
              </w:rPr>
              <w:t>$26.4</w:t>
            </w:r>
          </w:p>
        </w:tc>
      </w:tr>
      <w:tr w:rsidR="0077265C" w:rsidRPr="00A561E1">
        <w:trPr>
          <w:jc w:val="center"/>
        </w:trPr>
        <w:tc>
          <w:tcPr>
            <w:tcW w:w="5225" w:type="dxa"/>
          </w:tcPr>
          <w:p w:rsidR="0077265C" w:rsidRPr="00A561E1" w:rsidRDefault="0077265C" w:rsidP="00A375D7">
            <w:pPr>
              <w:pStyle w:val="BodyTextIndent2"/>
              <w:keepNext/>
              <w:ind w:left="0"/>
              <w:rPr>
                <w:sz w:val="20"/>
                <w:szCs w:val="20"/>
              </w:rPr>
            </w:pPr>
            <w:r w:rsidRPr="00A561E1">
              <w:rPr>
                <w:sz w:val="20"/>
                <w:szCs w:val="20"/>
              </w:rPr>
              <w:tab/>
              <w:t>Congestion Mitigation Air Quality Program</w:t>
            </w:r>
          </w:p>
        </w:tc>
        <w:tc>
          <w:tcPr>
            <w:tcW w:w="1389" w:type="dxa"/>
          </w:tcPr>
          <w:p w:rsidR="0077265C" w:rsidRPr="00A561E1" w:rsidRDefault="0077265C" w:rsidP="00A375D7">
            <w:pPr>
              <w:pStyle w:val="BodyTextIndent2"/>
              <w:keepNext/>
              <w:ind w:left="0"/>
              <w:jc w:val="right"/>
              <w:rPr>
                <w:sz w:val="20"/>
                <w:szCs w:val="20"/>
              </w:rPr>
            </w:pPr>
            <w:r w:rsidRPr="00A561E1">
              <w:rPr>
                <w:sz w:val="20"/>
                <w:szCs w:val="20"/>
              </w:rPr>
              <w:t>$4.9</w:t>
            </w:r>
          </w:p>
        </w:tc>
        <w:tc>
          <w:tcPr>
            <w:tcW w:w="1389" w:type="dxa"/>
          </w:tcPr>
          <w:p w:rsidR="0077265C" w:rsidRPr="00A561E1" w:rsidRDefault="0077265C" w:rsidP="00A375D7">
            <w:pPr>
              <w:pStyle w:val="BodyTextIndent2"/>
              <w:keepNext/>
              <w:ind w:left="0"/>
              <w:jc w:val="right"/>
              <w:rPr>
                <w:sz w:val="20"/>
                <w:szCs w:val="20"/>
              </w:rPr>
            </w:pPr>
            <w:r w:rsidRPr="00A561E1">
              <w:rPr>
                <w:sz w:val="20"/>
                <w:szCs w:val="20"/>
              </w:rPr>
              <w:t>$4.9</w:t>
            </w:r>
          </w:p>
        </w:tc>
      </w:tr>
      <w:tr w:rsidR="0077265C" w:rsidRPr="00A561E1">
        <w:trPr>
          <w:jc w:val="center"/>
        </w:trPr>
        <w:tc>
          <w:tcPr>
            <w:tcW w:w="5225" w:type="dxa"/>
          </w:tcPr>
          <w:p w:rsidR="0077265C" w:rsidRPr="00A561E1" w:rsidRDefault="0077265C" w:rsidP="00A375D7">
            <w:pPr>
              <w:pStyle w:val="BodyTextIndent2"/>
              <w:keepNext/>
              <w:ind w:left="0"/>
              <w:rPr>
                <w:sz w:val="20"/>
                <w:szCs w:val="20"/>
              </w:rPr>
            </w:pPr>
            <w:r w:rsidRPr="00A561E1">
              <w:rPr>
                <w:sz w:val="20"/>
                <w:szCs w:val="20"/>
              </w:rPr>
              <w:tab/>
            </w:r>
            <w:smartTag w:uri="urn:schemas-microsoft-com:office:smarttags" w:element="place">
              <w:smartTag w:uri="urn:schemas-microsoft-com:office:smarttags" w:element="PlaceName">
                <w:r w:rsidRPr="00A561E1">
                  <w:rPr>
                    <w:sz w:val="20"/>
                    <w:szCs w:val="20"/>
                  </w:rPr>
                  <w:t>Highway</w:t>
                </w:r>
              </w:smartTag>
              <w:r w:rsidRPr="00A561E1">
                <w:rPr>
                  <w:sz w:val="20"/>
                  <w:szCs w:val="20"/>
                </w:rPr>
                <w:t xml:space="preserve"> </w:t>
              </w:r>
              <w:smartTag w:uri="urn:schemas-microsoft-com:office:smarttags" w:element="PlaceType">
                <w:r w:rsidRPr="00A561E1">
                  <w:rPr>
                    <w:sz w:val="20"/>
                    <w:szCs w:val="20"/>
                  </w:rPr>
                  <w:t>Bridge</w:t>
                </w:r>
              </w:smartTag>
            </w:smartTag>
            <w:r w:rsidRPr="00A561E1">
              <w:rPr>
                <w:sz w:val="20"/>
                <w:szCs w:val="20"/>
              </w:rPr>
              <w:t xml:space="preserve"> Rehabilitation &amp; Replacement Program</w:t>
            </w:r>
          </w:p>
        </w:tc>
        <w:tc>
          <w:tcPr>
            <w:tcW w:w="1389" w:type="dxa"/>
          </w:tcPr>
          <w:p w:rsidR="0077265C" w:rsidRPr="00A561E1" w:rsidRDefault="0077265C" w:rsidP="00A375D7">
            <w:pPr>
              <w:pStyle w:val="BodyTextIndent2"/>
              <w:keepNext/>
              <w:ind w:left="0"/>
              <w:jc w:val="right"/>
              <w:rPr>
                <w:sz w:val="20"/>
                <w:szCs w:val="20"/>
              </w:rPr>
            </w:pPr>
            <w:r w:rsidRPr="00A561E1">
              <w:rPr>
                <w:sz w:val="20"/>
                <w:szCs w:val="20"/>
              </w:rPr>
              <w:t>$0.0</w:t>
            </w:r>
          </w:p>
        </w:tc>
        <w:tc>
          <w:tcPr>
            <w:tcW w:w="1389" w:type="dxa"/>
          </w:tcPr>
          <w:p w:rsidR="0077265C" w:rsidRPr="00A561E1" w:rsidRDefault="0077265C" w:rsidP="00A375D7">
            <w:pPr>
              <w:pStyle w:val="BodyTextIndent2"/>
              <w:keepNext/>
              <w:ind w:left="0"/>
              <w:jc w:val="right"/>
              <w:rPr>
                <w:sz w:val="20"/>
                <w:szCs w:val="20"/>
              </w:rPr>
            </w:pPr>
            <w:r w:rsidRPr="00A561E1">
              <w:rPr>
                <w:sz w:val="20"/>
                <w:szCs w:val="20"/>
              </w:rPr>
              <w:t>$0.1</w:t>
            </w:r>
          </w:p>
        </w:tc>
      </w:tr>
      <w:tr w:rsidR="0077265C" w:rsidRPr="00A561E1">
        <w:trPr>
          <w:jc w:val="center"/>
        </w:trPr>
        <w:tc>
          <w:tcPr>
            <w:tcW w:w="5225" w:type="dxa"/>
          </w:tcPr>
          <w:p w:rsidR="0077265C" w:rsidRPr="00A561E1" w:rsidRDefault="0077265C">
            <w:pPr>
              <w:pStyle w:val="BodyTextIndent2"/>
              <w:keepNext/>
              <w:ind w:left="0"/>
              <w:rPr>
                <w:b/>
                <w:sz w:val="20"/>
                <w:szCs w:val="20"/>
              </w:rPr>
            </w:pPr>
            <w:r w:rsidRPr="00A561E1">
              <w:rPr>
                <w:b/>
                <w:sz w:val="20"/>
                <w:szCs w:val="20"/>
              </w:rPr>
              <w:tab/>
              <w:t>Subtotal Local</w:t>
            </w:r>
          </w:p>
        </w:tc>
        <w:tc>
          <w:tcPr>
            <w:tcW w:w="1389" w:type="dxa"/>
          </w:tcPr>
          <w:p w:rsidR="0077265C" w:rsidRPr="00A561E1" w:rsidRDefault="0077265C">
            <w:pPr>
              <w:pStyle w:val="BodyTextIndent2"/>
              <w:keepNext/>
              <w:ind w:left="0"/>
              <w:jc w:val="right"/>
              <w:rPr>
                <w:b/>
                <w:sz w:val="20"/>
                <w:szCs w:val="20"/>
              </w:rPr>
            </w:pPr>
            <w:r w:rsidRPr="00A561E1">
              <w:rPr>
                <w:b/>
                <w:sz w:val="20"/>
                <w:szCs w:val="20"/>
              </w:rPr>
              <w:t>$95.2</w:t>
            </w:r>
          </w:p>
        </w:tc>
        <w:tc>
          <w:tcPr>
            <w:tcW w:w="1389" w:type="dxa"/>
          </w:tcPr>
          <w:p w:rsidR="0077265C" w:rsidRPr="00A561E1" w:rsidRDefault="0077265C">
            <w:pPr>
              <w:pStyle w:val="BodyTextIndent2"/>
              <w:keepNext/>
              <w:ind w:left="0"/>
              <w:jc w:val="right"/>
              <w:rPr>
                <w:b/>
                <w:sz w:val="20"/>
                <w:szCs w:val="20"/>
              </w:rPr>
            </w:pPr>
            <w:r w:rsidRPr="00A561E1">
              <w:rPr>
                <w:b/>
                <w:sz w:val="20"/>
                <w:szCs w:val="20"/>
              </w:rPr>
              <w:t>$172.5</w:t>
            </w:r>
          </w:p>
        </w:tc>
      </w:tr>
      <w:tr w:rsidR="0077265C" w:rsidRPr="00A561E1">
        <w:trPr>
          <w:jc w:val="center"/>
        </w:trPr>
        <w:tc>
          <w:tcPr>
            <w:tcW w:w="5225" w:type="dxa"/>
          </w:tcPr>
          <w:p w:rsidR="0077265C" w:rsidRPr="00A561E1" w:rsidRDefault="0077265C">
            <w:pPr>
              <w:pStyle w:val="BodyTextIndent2"/>
              <w:keepNext/>
              <w:ind w:left="0"/>
              <w:rPr>
                <w:b/>
                <w:sz w:val="20"/>
                <w:szCs w:val="20"/>
              </w:rPr>
            </w:pPr>
            <w:r w:rsidRPr="00A561E1">
              <w:rPr>
                <w:b/>
                <w:sz w:val="20"/>
                <w:szCs w:val="20"/>
              </w:rPr>
              <w:t>TOTAL</w:t>
            </w:r>
          </w:p>
        </w:tc>
        <w:tc>
          <w:tcPr>
            <w:tcW w:w="1389" w:type="dxa"/>
          </w:tcPr>
          <w:p w:rsidR="0077265C" w:rsidRPr="00A561E1" w:rsidRDefault="0077265C">
            <w:pPr>
              <w:pStyle w:val="BodyTextIndent2"/>
              <w:keepNext/>
              <w:ind w:left="0"/>
              <w:jc w:val="right"/>
              <w:rPr>
                <w:b/>
                <w:sz w:val="20"/>
                <w:szCs w:val="20"/>
              </w:rPr>
            </w:pPr>
            <w:r w:rsidRPr="00A561E1">
              <w:rPr>
                <w:b/>
                <w:sz w:val="20"/>
                <w:szCs w:val="20"/>
              </w:rPr>
              <w:t>$351.5</w:t>
            </w:r>
          </w:p>
        </w:tc>
        <w:tc>
          <w:tcPr>
            <w:tcW w:w="1389" w:type="dxa"/>
          </w:tcPr>
          <w:p w:rsidR="0077265C" w:rsidRPr="00A561E1" w:rsidRDefault="0077265C">
            <w:pPr>
              <w:pStyle w:val="BodyTextIndent2"/>
              <w:keepNext/>
              <w:ind w:left="0"/>
              <w:jc w:val="right"/>
              <w:rPr>
                <w:b/>
                <w:sz w:val="20"/>
                <w:szCs w:val="20"/>
              </w:rPr>
            </w:pPr>
            <w:r w:rsidRPr="00A561E1">
              <w:rPr>
                <w:b/>
                <w:sz w:val="20"/>
                <w:szCs w:val="20"/>
              </w:rPr>
              <w:t>$484.1</w:t>
            </w:r>
          </w:p>
        </w:tc>
      </w:tr>
    </w:tbl>
    <w:p w:rsidR="0044751E" w:rsidRPr="00A561E1" w:rsidRDefault="0044751E">
      <w:pPr>
        <w:pStyle w:val="BodyTextIndent2"/>
        <w:ind w:left="720"/>
      </w:pPr>
    </w:p>
    <w:p w:rsidR="0044751E" w:rsidRPr="00A561E1" w:rsidRDefault="0044751E">
      <w:pPr>
        <w:pStyle w:val="BodyTextIndent2"/>
        <w:ind w:left="720"/>
      </w:pPr>
      <w:r w:rsidRPr="00A561E1">
        <w:t>One recommendation that was included in Spot Report #9 involved the need for NCTD to develop procedures, which they call desktop procedures, to accurately forecast the EAC for all line items.  NCTD tasked their CM with developing these procedures and preparing monthly EAC Reports.  NCTD has added Section 3.13 to Revision No. 5 of the PMP to provide a summary of the procedures to be used in developing cost forecasts.  This section is supplemented by desktop procedures that have been reviewed by the PMOC and have been subsequently incorporated into the CM Plan.</w:t>
      </w:r>
    </w:p>
    <w:p w:rsidR="0044751E" w:rsidRPr="00A561E1" w:rsidRDefault="0044751E">
      <w:pPr>
        <w:ind w:left="720"/>
      </w:pPr>
    </w:p>
    <w:p w:rsidR="0044751E" w:rsidRPr="00A561E1" w:rsidRDefault="0044751E">
      <w:pPr>
        <w:ind w:left="720"/>
      </w:pPr>
      <w:r w:rsidRPr="00A561E1">
        <w:rPr>
          <w:b/>
          <w:bCs/>
        </w:rPr>
        <w:t>PMOC Comments:</w:t>
      </w:r>
      <w:r w:rsidRPr="00A561E1">
        <w:t xml:space="preserve">  The PMP provides for a reasonable system for tracking costs of the Project.  The PMP also provides fairly sufficient information regarding budget, funding and cost forecasting.  This requirement has been satisfactorily addressed.</w:t>
      </w:r>
    </w:p>
    <w:p w:rsidR="0044751E" w:rsidRPr="00A561E1" w:rsidRDefault="0044751E">
      <w:pPr>
        <w:ind w:left="720"/>
      </w:pPr>
    </w:p>
    <w:p w:rsidR="0044751E" w:rsidRPr="00A561E1" w:rsidRDefault="0044751E">
      <w:pPr>
        <w:pStyle w:val="Heading4"/>
      </w:pPr>
      <w:r w:rsidRPr="00A561E1">
        <w:t>Construction Schedule</w:t>
      </w:r>
    </w:p>
    <w:p w:rsidR="0044751E" w:rsidRPr="00A561E1" w:rsidRDefault="0044751E">
      <w:pPr>
        <w:ind w:left="720"/>
        <w:rPr>
          <w:rFonts w:cs="Arial"/>
        </w:rPr>
      </w:pPr>
      <w:r w:rsidRPr="00A561E1">
        <w:rPr>
          <w:b/>
          <w:bCs/>
        </w:rPr>
        <w:t>PMP:</w:t>
      </w:r>
      <w:r w:rsidRPr="00A561E1">
        <w:t xml:space="preserve">  </w:t>
      </w:r>
      <w:r w:rsidRPr="00A561E1">
        <w:rPr>
          <w:rFonts w:cs="Arial"/>
        </w:rPr>
        <w:t xml:space="preserve">Figure 3.1 consists of a summary level schedule by FFGA contract unit.  </w:t>
      </w:r>
      <w:r w:rsidRPr="00A561E1">
        <w:t>Section 3.9 of the PMP addresses schedule management for the overall Project.  The Construction Manager (</w:t>
      </w:r>
      <w:r w:rsidRPr="00A561E1">
        <w:rPr>
          <w:rFonts w:cs="Arial"/>
        </w:rPr>
        <w:t>CM) Plan provides detail on the management of individual contractor schedules.</w:t>
      </w:r>
    </w:p>
    <w:p w:rsidR="0044751E" w:rsidRPr="00A561E1" w:rsidRDefault="0044751E">
      <w:pPr>
        <w:pStyle w:val="TOC3"/>
        <w:rPr>
          <w:rFonts w:cs="Arial"/>
          <w:bCs/>
          <w:noProof w:val="0"/>
        </w:rPr>
      </w:pPr>
    </w:p>
    <w:p w:rsidR="0044751E" w:rsidRPr="00A561E1" w:rsidRDefault="0044751E">
      <w:pPr>
        <w:ind w:left="720"/>
        <w:rPr>
          <w:rFonts w:cs="Arial"/>
        </w:rPr>
      </w:pPr>
      <w:r w:rsidRPr="00A561E1">
        <w:rPr>
          <w:rFonts w:cs="Arial"/>
          <w:b/>
          <w:bCs/>
        </w:rPr>
        <w:t>PMOC Comments:</w:t>
      </w:r>
      <w:r w:rsidRPr="00A561E1">
        <w:rPr>
          <w:rFonts w:cs="Arial"/>
        </w:rPr>
        <w:t xml:space="preserve">  NCTD has tasked their CM with preparing reports on a monthly basis titled, “Mainline Contractor Performance Analysis” that include the following assessments:</w:t>
      </w:r>
    </w:p>
    <w:p w:rsidR="0044751E" w:rsidRPr="00A561E1" w:rsidRDefault="0044751E">
      <w:pPr>
        <w:ind w:left="720"/>
        <w:rPr>
          <w:rFonts w:cs="Arial"/>
        </w:rPr>
      </w:pPr>
    </w:p>
    <w:p w:rsidR="009E53F4" w:rsidRPr="00A561E1" w:rsidRDefault="009E53F4">
      <w:pPr>
        <w:ind w:left="720"/>
        <w:rPr>
          <w:rFonts w:cs="Arial"/>
        </w:rPr>
      </w:pPr>
    </w:p>
    <w:p w:rsidR="0044751E" w:rsidRPr="00A561E1" w:rsidRDefault="0044751E">
      <w:pPr>
        <w:numPr>
          <w:ilvl w:val="0"/>
          <w:numId w:val="15"/>
        </w:numPr>
      </w:pPr>
      <w:r w:rsidRPr="00A561E1">
        <w:t>Critical Path Method (CPM) Analysis</w:t>
      </w:r>
    </w:p>
    <w:p w:rsidR="0044751E" w:rsidRPr="00A561E1" w:rsidRDefault="0044751E">
      <w:pPr>
        <w:numPr>
          <w:ilvl w:val="0"/>
          <w:numId w:val="15"/>
        </w:numPr>
      </w:pPr>
      <w:r w:rsidRPr="00A561E1">
        <w:t>Efficiency Analysis (Earned Value Analysis)</w:t>
      </w:r>
    </w:p>
    <w:p w:rsidR="0044751E" w:rsidRPr="00A561E1" w:rsidRDefault="0044751E">
      <w:pPr>
        <w:numPr>
          <w:ilvl w:val="0"/>
          <w:numId w:val="15"/>
        </w:numPr>
      </w:pPr>
      <w:r w:rsidRPr="00A561E1">
        <w:t>Manpower Analysis</w:t>
      </w:r>
    </w:p>
    <w:p w:rsidR="0044751E" w:rsidRPr="00A561E1" w:rsidRDefault="0044751E">
      <w:pPr>
        <w:numPr>
          <w:ilvl w:val="0"/>
          <w:numId w:val="15"/>
        </w:numPr>
      </w:pPr>
      <w:r w:rsidRPr="00A561E1">
        <w:t>Payment Application Analysis</w:t>
      </w:r>
    </w:p>
    <w:p w:rsidR="0044751E" w:rsidRPr="00A561E1" w:rsidRDefault="0044751E">
      <w:pPr>
        <w:numPr>
          <w:ilvl w:val="0"/>
          <w:numId w:val="15"/>
        </w:numPr>
      </w:pPr>
      <w:r w:rsidRPr="00A561E1">
        <w:t>Trend Analysis</w:t>
      </w:r>
    </w:p>
    <w:p w:rsidR="0044751E" w:rsidRPr="00A561E1" w:rsidRDefault="0044751E">
      <w:pPr>
        <w:numPr>
          <w:ilvl w:val="0"/>
          <w:numId w:val="15"/>
        </w:numPr>
      </w:pPr>
      <w:r w:rsidRPr="00A561E1">
        <w:t>Simulated Scheduling Analysis</w:t>
      </w:r>
    </w:p>
    <w:p w:rsidR="0044751E" w:rsidRPr="00A561E1" w:rsidRDefault="0044751E">
      <w:pPr>
        <w:ind w:left="720"/>
        <w:rPr>
          <w:rFonts w:cs="Arial"/>
        </w:rPr>
      </w:pPr>
    </w:p>
    <w:p w:rsidR="0044751E" w:rsidRPr="00A561E1" w:rsidRDefault="0044751E">
      <w:pPr>
        <w:ind w:left="720"/>
      </w:pPr>
      <w:r w:rsidRPr="00A561E1">
        <w:rPr>
          <w:rFonts w:cs="Arial"/>
        </w:rPr>
        <w:t xml:space="preserve">The CM analysis only addresses the Mainline and Stations Contract because it is the only active contract that controls the overall project critical path.  These reports are thorough and valuable in assessing the forecast ROD.  The PMOC has found that the Simulated Scheduling Analysis </w:t>
      </w:r>
      <w:r w:rsidR="004129F6" w:rsidRPr="00A561E1">
        <w:rPr>
          <w:rFonts w:cs="Arial"/>
        </w:rPr>
        <w:t>was</w:t>
      </w:r>
      <w:r w:rsidRPr="00A561E1">
        <w:rPr>
          <w:rFonts w:cs="Arial"/>
        </w:rPr>
        <w:t xml:space="preserve"> the most beneficial </w:t>
      </w:r>
      <w:r w:rsidR="00212BD3">
        <w:rPr>
          <w:rFonts w:cs="Arial"/>
        </w:rPr>
        <w:t xml:space="preserve">tool </w:t>
      </w:r>
      <w:r w:rsidRPr="00A561E1">
        <w:rPr>
          <w:rFonts w:cs="Arial"/>
        </w:rPr>
        <w:t xml:space="preserve">in assessing the schedule forecast.  </w:t>
      </w:r>
      <w:r w:rsidRPr="00A561E1">
        <w:t>This requirement has been satisfactorily addressed.</w:t>
      </w:r>
    </w:p>
    <w:p w:rsidR="0044751E" w:rsidRPr="00A561E1" w:rsidRDefault="0044751E">
      <w:pPr>
        <w:rPr>
          <w:lang w:bidi="hi-IN"/>
        </w:rPr>
      </w:pPr>
    </w:p>
    <w:p w:rsidR="0044751E" w:rsidRPr="00A561E1" w:rsidRDefault="0044751E">
      <w:pPr>
        <w:pStyle w:val="Heading4"/>
      </w:pPr>
      <w:r w:rsidRPr="00A561E1">
        <w:t>Document Control</w:t>
      </w:r>
    </w:p>
    <w:p w:rsidR="0044751E" w:rsidRPr="00A561E1" w:rsidRDefault="0044751E">
      <w:pPr>
        <w:ind w:left="720"/>
        <w:rPr>
          <w:rFonts w:cs="Arial"/>
        </w:rPr>
      </w:pPr>
      <w:r w:rsidRPr="00A561E1">
        <w:rPr>
          <w:rFonts w:cs="Arial"/>
          <w:b/>
        </w:rPr>
        <w:t>PMP:</w:t>
      </w:r>
      <w:r w:rsidRPr="00A561E1">
        <w:rPr>
          <w:rFonts w:cs="Arial"/>
        </w:rPr>
        <w:t xml:space="preserve">  Section 12 provides a detailed discussion on the procedures for document control and configuration management.  This discussion supplements the information contained within their Document Control Plan (Revision 1 dated May 2001).  In addition, the CM Plan contains construction phase procedures for record retention and document control.  NCTD is utilizing Autodesk </w:t>
      </w:r>
      <w:proofErr w:type="spellStart"/>
      <w:r w:rsidRPr="00A561E1">
        <w:rPr>
          <w:rFonts w:cs="Arial"/>
        </w:rPr>
        <w:t>Buzzsaw</w:t>
      </w:r>
      <w:proofErr w:type="spellEnd"/>
      <w:r w:rsidRPr="00A561E1">
        <w:rPr>
          <w:rFonts w:cs="Arial"/>
        </w:rPr>
        <w:t xml:space="preserve"> for distribution of contract bidding documents.  NCTD will be using Prolog Manager for electronic control of construction-phase documentation.</w:t>
      </w:r>
    </w:p>
    <w:p w:rsidR="0044751E" w:rsidRPr="00A561E1" w:rsidRDefault="0044751E">
      <w:pPr>
        <w:ind w:left="720"/>
        <w:rPr>
          <w:rFonts w:cs="Arial"/>
        </w:rPr>
      </w:pPr>
    </w:p>
    <w:p w:rsidR="0044751E" w:rsidRPr="00A561E1" w:rsidRDefault="0044751E">
      <w:pPr>
        <w:ind w:left="720"/>
      </w:pPr>
      <w:r w:rsidRPr="00A561E1">
        <w:rPr>
          <w:rFonts w:cs="Arial"/>
          <w:b/>
        </w:rPr>
        <w:t>PMOC Comments:</w:t>
      </w:r>
      <w:r w:rsidRPr="00A561E1">
        <w:rPr>
          <w:rFonts w:cs="Arial"/>
          <w:bCs/>
        </w:rPr>
        <w:t xml:space="preserve">  </w:t>
      </w:r>
      <w:r w:rsidRPr="00A561E1">
        <w:t>This requirement has been satisfactorily addressed.</w:t>
      </w:r>
    </w:p>
    <w:p w:rsidR="0044751E" w:rsidRPr="00A561E1" w:rsidRDefault="0044751E">
      <w:pPr>
        <w:rPr>
          <w:lang w:bidi="hi-IN"/>
        </w:rPr>
      </w:pPr>
    </w:p>
    <w:p w:rsidR="0044751E" w:rsidRPr="00A561E1" w:rsidRDefault="0044751E">
      <w:pPr>
        <w:pStyle w:val="Heading4"/>
      </w:pPr>
      <w:r w:rsidRPr="00A561E1">
        <w:t>Change Order Procedure</w:t>
      </w:r>
    </w:p>
    <w:p w:rsidR="0044751E" w:rsidRPr="00A561E1" w:rsidRDefault="0044751E">
      <w:pPr>
        <w:ind w:left="720"/>
      </w:pPr>
      <w:r w:rsidRPr="00A561E1">
        <w:rPr>
          <w:b/>
          <w:bCs/>
        </w:rPr>
        <w:t>PMP:</w:t>
      </w:r>
      <w:r w:rsidRPr="00A561E1">
        <w:t xml:space="preserve">  Section 14 of the PMP addresses change management and resolution of claims or disputes for both consultants and contractors.  This includes general procedures for executing contract change orders, measures for the prevention or mitigation of claims (e.g. providing contractor with work alternatives, thorough documentation of all work progress and issues, prompt action when potential claims are identified) and procedures for the resolution of claims as outlined in the contract specifications.</w:t>
      </w:r>
    </w:p>
    <w:p w:rsidR="0044751E" w:rsidRPr="00A561E1" w:rsidRDefault="0044751E">
      <w:pPr>
        <w:ind w:left="720"/>
      </w:pPr>
    </w:p>
    <w:p w:rsidR="0044751E" w:rsidRPr="00A561E1" w:rsidRDefault="0044751E">
      <w:pPr>
        <w:ind w:left="720"/>
      </w:pPr>
      <w:r w:rsidRPr="00A561E1">
        <w:t>The CM Plan provides specific detail with regard to procedures for management of construction contract change orders for each construction contract.</w:t>
      </w:r>
    </w:p>
    <w:p w:rsidR="0044751E" w:rsidRPr="00A561E1" w:rsidRDefault="0044751E">
      <w:pPr>
        <w:ind w:left="720"/>
      </w:pPr>
    </w:p>
    <w:p w:rsidR="0044751E" w:rsidRPr="00A561E1" w:rsidRDefault="0044751E">
      <w:pPr>
        <w:ind w:left="720"/>
      </w:pPr>
      <w:r w:rsidRPr="00A561E1">
        <w:rPr>
          <w:b/>
          <w:bCs/>
        </w:rPr>
        <w:t>PMOC Comments:</w:t>
      </w:r>
      <w:r w:rsidRPr="00A561E1">
        <w:t xml:space="preserve">  This requirement has been satisfactorily addressed.</w:t>
      </w:r>
    </w:p>
    <w:p w:rsidR="0044751E" w:rsidRPr="00A561E1" w:rsidRDefault="0044751E">
      <w:pPr>
        <w:rPr>
          <w:lang w:bidi="hi-IN"/>
        </w:rPr>
      </w:pPr>
    </w:p>
    <w:p w:rsidR="0044751E" w:rsidRPr="00A561E1" w:rsidRDefault="0044751E">
      <w:pPr>
        <w:pStyle w:val="Heading4"/>
      </w:pPr>
      <w:bookmarkStart w:id="69" w:name="_Toc533499396"/>
      <w:bookmarkStart w:id="70" w:name="_Toc533501127"/>
      <w:bookmarkStart w:id="71" w:name="_Toc78083457"/>
      <w:r w:rsidRPr="00A561E1">
        <w:t>Organizational Structure</w:t>
      </w:r>
      <w:bookmarkEnd w:id="69"/>
      <w:bookmarkEnd w:id="70"/>
      <w:bookmarkEnd w:id="71"/>
    </w:p>
    <w:p w:rsidR="0044751E" w:rsidRPr="00A561E1" w:rsidRDefault="0044751E">
      <w:pPr>
        <w:pStyle w:val="Footer"/>
        <w:tabs>
          <w:tab w:val="clear" w:pos="4320"/>
          <w:tab w:val="clear" w:pos="8640"/>
        </w:tabs>
        <w:ind w:left="720"/>
      </w:pPr>
      <w:r w:rsidRPr="00A561E1">
        <w:rPr>
          <w:b/>
        </w:rPr>
        <w:t>PMP:</w:t>
      </w:r>
      <w:r w:rsidRPr="00A561E1">
        <w:t xml:space="preserve">  The project organization is primarily discussed in Section 2.0 of the PMP.</w:t>
      </w:r>
    </w:p>
    <w:p w:rsidR="0044751E" w:rsidRPr="00A561E1" w:rsidRDefault="0044751E">
      <w:pPr>
        <w:pStyle w:val="Footer"/>
        <w:tabs>
          <w:tab w:val="clear" w:pos="4320"/>
          <w:tab w:val="clear" w:pos="8640"/>
        </w:tabs>
        <w:ind w:left="720"/>
      </w:pPr>
    </w:p>
    <w:p w:rsidR="0044751E" w:rsidRPr="00A561E1" w:rsidRDefault="0044751E">
      <w:pPr>
        <w:pStyle w:val="Footer"/>
        <w:tabs>
          <w:tab w:val="clear" w:pos="4320"/>
          <w:tab w:val="clear" w:pos="8640"/>
        </w:tabs>
        <w:ind w:left="720"/>
      </w:pPr>
      <w:r w:rsidRPr="00A561E1">
        <w:rPr>
          <w:b/>
        </w:rPr>
        <w:t>PMOC Comments:</w:t>
      </w:r>
      <w:r w:rsidRPr="00A561E1">
        <w:t xml:space="preserve">  This requirement has been satisfactorily addressed.</w:t>
      </w:r>
    </w:p>
    <w:p w:rsidR="0044751E" w:rsidRPr="00A561E1" w:rsidRDefault="0044751E">
      <w:pPr>
        <w:rPr>
          <w:lang w:bidi="hi-IN"/>
        </w:rPr>
      </w:pPr>
    </w:p>
    <w:p w:rsidR="0044751E" w:rsidRPr="00A561E1" w:rsidRDefault="0044751E">
      <w:pPr>
        <w:pStyle w:val="Heading4"/>
      </w:pPr>
      <w:r w:rsidRPr="00A561E1">
        <w:t>Quality Assurance Program</w:t>
      </w:r>
    </w:p>
    <w:p w:rsidR="0044751E" w:rsidRPr="00A561E1" w:rsidRDefault="0044751E">
      <w:pPr>
        <w:ind w:left="720"/>
      </w:pPr>
      <w:r w:rsidRPr="00A561E1">
        <w:rPr>
          <w:b/>
          <w:bCs/>
        </w:rPr>
        <w:t>PMP:</w:t>
      </w:r>
      <w:r w:rsidRPr="00A561E1">
        <w:t xml:space="preserve">  Section 17 of the PMP discusses Quality Management for this Project.  The PMP references the Quality Program Plan (QPP) and describes quality requirements during design, procurement, construction, and startup and testing.  All design consultants are required to have effective QA/QC programs in place. The design consultants must also develop quality plans, which are subject to approval by the Quality Control Management Specialist.  Contractors are required to develop and implement a Contractor’s Quality Plan.  Section 17.4.3 states that certain audits and surveillances of all construction activities will be conducted.</w:t>
      </w:r>
    </w:p>
    <w:p w:rsidR="0044751E" w:rsidRPr="00A561E1" w:rsidRDefault="0044751E">
      <w:pPr>
        <w:ind w:left="720"/>
      </w:pPr>
    </w:p>
    <w:p w:rsidR="0044751E" w:rsidRPr="00A561E1" w:rsidRDefault="0044751E">
      <w:pPr>
        <w:ind w:left="720"/>
        <w:rPr>
          <w:lang w:bidi="hi-IN"/>
        </w:rPr>
      </w:pPr>
      <w:r w:rsidRPr="00A561E1">
        <w:rPr>
          <w:b/>
          <w:bCs/>
        </w:rPr>
        <w:t xml:space="preserve">PMOC Comments:  </w:t>
      </w:r>
      <w:r w:rsidRPr="00A561E1">
        <w:t>This requirement has been satisfactorily addressed.  Implementation of the QPP is the responsibility of the NCTD Quality Control Management Specialist.  This implementation includes field spot checks, audits, and tracking of non-compliance items.  The PMOC provides reviews of supporting documentation regularly and has found the implementation to be satisfactory.</w:t>
      </w:r>
    </w:p>
    <w:p w:rsidR="0044751E" w:rsidRPr="00A561E1" w:rsidRDefault="0044751E">
      <w:pPr>
        <w:rPr>
          <w:lang w:bidi="hi-IN"/>
        </w:rPr>
      </w:pPr>
    </w:p>
    <w:p w:rsidR="0044751E" w:rsidRPr="00A561E1" w:rsidRDefault="0044751E">
      <w:pPr>
        <w:pStyle w:val="Heading4"/>
      </w:pPr>
      <w:r w:rsidRPr="00A561E1">
        <w:t>Material Testing Policies and Procedures</w:t>
      </w:r>
    </w:p>
    <w:p w:rsidR="0044751E" w:rsidRPr="00A561E1" w:rsidRDefault="0044751E">
      <w:pPr>
        <w:ind w:left="720"/>
      </w:pPr>
      <w:r w:rsidRPr="00A561E1">
        <w:rPr>
          <w:b/>
        </w:rPr>
        <w:t>PMP:</w:t>
      </w:r>
      <w:r w:rsidRPr="00A561E1">
        <w:t xml:space="preserve">  Section 15 of the PMP discusses NCTD’s testing program in detail for the project.  This discussion covers testing for construction and pre-revenue operations.</w:t>
      </w:r>
    </w:p>
    <w:p w:rsidR="0044751E" w:rsidRPr="00A561E1" w:rsidRDefault="0044751E">
      <w:pPr>
        <w:ind w:left="720"/>
      </w:pPr>
    </w:p>
    <w:p w:rsidR="0044751E" w:rsidRPr="00A561E1" w:rsidRDefault="0044751E">
      <w:pPr>
        <w:ind w:left="720"/>
      </w:pPr>
      <w:r w:rsidRPr="00A561E1">
        <w:t>In addition, an NCTD consultant has developed a comprehensive Materials Testing Plan to ensure adequate quality control and assurance during construction.</w:t>
      </w:r>
    </w:p>
    <w:p w:rsidR="0044751E" w:rsidRPr="00A561E1" w:rsidRDefault="0044751E">
      <w:pPr>
        <w:ind w:left="720"/>
      </w:pPr>
    </w:p>
    <w:p w:rsidR="0044751E" w:rsidRPr="00A561E1" w:rsidRDefault="0044751E">
      <w:pPr>
        <w:ind w:left="720"/>
      </w:pPr>
      <w:r w:rsidRPr="00A561E1">
        <w:rPr>
          <w:b/>
        </w:rPr>
        <w:t>PMOC Comments:</w:t>
      </w:r>
      <w:r w:rsidRPr="00A561E1">
        <w:t xml:space="preserve">  This requirement has been satisfactorily addressed.  </w:t>
      </w:r>
    </w:p>
    <w:p w:rsidR="0044751E" w:rsidRPr="00A561E1" w:rsidRDefault="0044751E">
      <w:pPr>
        <w:rPr>
          <w:lang w:bidi="hi-IN"/>
        </w:rPr>
      </w:pPr>
    </w:p>
    <w:p w:rsidR="0044751E" w:rsidRPr="00A561E1" w:rsidRDefault="0044751E">
      <w:pPr>
        <w:pStyle w:val="Heading4"/>
      </w:pPr>
      <w:r w:rsidRPr="00A561E1">
        <w:t>Internal Reporting</w:t>
      </w:r>
    </w:p>
    <w:p w:rsidR="0044751E" w:rsidRPr="00A561E1" w:rsidRDefault="0044751E">
      <w:pPr>
        <w:ind w:left="720"/>
      </w:pPr>
      <w:r w:rsidRPr="00A561E1">
        <w:rPr>
          <w:b/>
          <w:bCs/>
        </w:rPr>
        <w:t>PMP:</w:t>
      </w:r>
      <w:r w:rsidRPr="00A561E1">
        <w:t xml:space="preserve">  Chapter 2 of the PMP describes the reporting relationships for the Project organization, and Chapter 3 provides detail on the reporting mechanisms within this organization for cost and schedule control.</w:t>
      </w:r>
    </w:p>
    <w:p w:rsidR="0044751E" w:rsidRPr="00A561E1" w:rsidRDefault="0044751E">
      <w:pPr>
        <w:ind w:left="720"/>
      </w:pPr>
    </w:p>
    <w:p w:rsidR="0044751E" w:rsidRPr="00A561E1" w:rsidRDefault="0044751E">
      <w:pPr>
        <w:ind w:left="720"/>
      </w:pPr>
      <w:r w:rsidRPr="00A561E1">
        <w:t>The PMP requires that the Project Engineers prepare a report each month covering cost and schedule status and other issues that might be of concern to senior management.  The Project Manager reviews and edits the reports and distributes them to NCTD Board Members, the FTA, and the PMOC.</w:t>
      </w:r>
    </w:p>
    <w:p w:rsidR="0044751E" w:rsidRPr="00A561E1" w:rsidRDefault="0044751E">
      <w:pPr>
        <w:ind w:left="720"/>
      </w:pPr>
    </w:p>
    <w:p w:rsidR="0044751E" w:rsidRPr="00A561E1" w:rsidRDefault="0044751E">
      <w:pPr>
        <w:ind w:left="720"/>
        <w:rPr>
          <w:lang w:bidi="hi-IN"/>
        </w:rPr>
      </w:pPr>
      <w:r w:rsidRPr="00A561E1">
        <w:rPr>
          <w:b/>
          <w:bCs/>
        </w:rPr>
        <w:t>PMOC Comments:</w:t>
      </w:r>
      <w:r w:rsidRPr="00A561E1">
        <w:t xml:space="preserve">  This requirement has been satisfactorily addressed.</w:t>
      </w:r>
    </w:p>
    <w:p w:rsidR="0044751E" w:rsidRPr="00A561E1" w:rsidRDefault="0044751E">
      <w:pPr>
        <w:rPr>
          <w:lang w:bidi="hi-IN"/>
        </w:rPr>
      </w:pPr>
    </w:p>
    <w:p w:rsidR="0044751E" w:rsidRPr="00A561E1" w:rsidRDefault="0044751E">
      <w:pPr>
        <w:pStyle w:val="Heading4"/>
      </w:pPr>
      <w:r w:rsidRPr="00A561E1">
        <w:t>Testing the Operational System</w:t>
      </w:r>
    </w:p>
    <w:p w:rsidR="0044751E" w:rsidRPr="00A561E1" w:rsidRDefault="0044751E" w:rsidP="00B6250F">
      <w:pPr>
        <w:ind w:left="720"/>
        <w:rPr>
          <w:bCs/>
        </w:rPr>
      </w:pPr>
      <w:r w:rsidRPr="00A561E1">
        <w:rPr>
          <w:b/>
        </w:rPr>
        <w:t>PMP:</w:t>
      </w:r>
      <w:r w:rsidRPr="00A561E1">
        <w:rPr>
          <w:bCs/>
        </w:rPr>
        <w:t xml:space="preserve">  Section 15 of the PMP addresses the startup and testing program.  The PMP discusses the role of the </w:t>
      </w:r>
      <w:r w:rsidR="00B6250F" w:rsidRPr="00A561E1">
        <w:rPr>
          <w:bCs/>
        </w:rPr>
        <w:t xml:space="preserve">Rail </w:t>
      </w:r>
      <w:r w:rsidRPr="00A561E1">
        <w:rPr>
          <w:bCs/>
        </w:rPr>
        <w:t xml:space="preserve">Activation Group (RAG) and provides basic information on system integration testing and startup activities.  NCTD has developed an Integrated Testing and Startup Plan for the Project.  This plan </w:t>
      </w:r>
      <w:r w:rsidR="004129F6" w:rsidRPr="00A561E1">
        <w:rPr>
          <w:bCs/>
        </w:rPr>
        <w:t xml:space="preserve">is </w:t>
      </w:r>
      <w:r w:rsidRPr="00A561E1">
        <w:rPr>
          <w:bCs/>
        </w:rPr>
        <w:t xml:space="preserve">supplemented by </w:t>
      </w:r>
      <w:r w:rsidR="004129F6" w:rsidRPr="00A561E1">
        <w:rPr>
          <w:bCs/>
        </w:rPr>
        <w:t xml:space="preserve">a </w:t>
      </w:r>
      <w:r w:rsidRPr="00A561E1">
        <w:rPr>
          <w:bCs/>
        </w:rPr>
        <w:t>Systems Testing and Startup Plan and a Test Program Plan.</w:t>
      </w:r>
    </w:p>
    <w:p w:rsidR="0044751E" w:rsidRPr="00A561E1" w:rsidRDefault="0044751E">
      <w:pPr>
        <w:ind w:left="720"/>
        <w:rPr>
          <w:bCs/>
        </w:rPr>
      </w:pPr>
    </w:p>
    <w:p w:rsidR="0044751E" w:rsidRPr="00A561E1" w:rsidRDefault="0044751E">
      <w:pPr>
        <w:ind w:left="720"/>
        <w:rPr>
          <w:bCs/>
        </w:rPr>
      </w:pPr>
      <w:r w:rsidRPr="00A561E1">
        <w:rPr>
          <w:b/>
        </w:rPr>
        <w:t>PMOC Comments:</w:t>
      </w:r>
      <w:r w:rsidRPr="00A561E1">
        <w:rPr>
          <w:bCs/>
        </w:rPr>
        <w:t xml:space="preserve">  </w:t>
      </w:r>
      <w:r w:rsidRPr="00A561E1">
        <w:t xml:space="preserve">This requirement has been satisfactorily addressed.  NCTD holds regular meetings of the RAG, of which the PMOC attends on a frequent basis.  The Start-up Manager provides monthly updates to the PMOC on the progress of start-up activities, which is satisfactory to support the </w:t>
      </w:r>
      <w:r w:rsidR="00212BD3">
        <w:t xml:space="preserve">Amended </w:t>
      </w:r>
      <w:r w:rsidRPr="00A561E1">
        <w:t>FFGA ROD.</w:t>
      </w:r>
    </w:p>
    <w:p w:rsidR="0044751E" w:rsidRPr="00A561E1" w:rsidRDefault="0044751E">
      <w:pPr>
        <w:rPr>
          <w:lang w:bidi="hi-IN"/>
        </w:rPr>
      </w:pPr>
    </w:p>
    <w:p w:rsidR="0044751E" w:rsidRPr="00A561E1" w:rsidRDefault="0044751E">
      <w:pPr>
        <w:pStyle w:val="Heading4"/>
      </w:pPr>
      <w:r w:rsidRPr="00A561E1">
        <w:t>Periodic Updates</w:t>
      </w:r>
    </w:p>
    <w:p w:rsidR="0044751E" w:rsidRPr="00A561E1" w:rsidRDefault="0044751E">
      <w:pPr>
        <w:ind w:left="720"/>
        <w:rPr>
          <w:rFonts w:cs="Arial"/>
        </w:rPr>
      </w:pPr>
      <w:r w:rsidRPr="00A561E1">
        <w:rPr>
          <w:rFonts w:cs="Arial"/>
          <w:b/>
          <w:bCs/>
        </w:rPr>
        <w:t>PMP:</w:t>
      </w:r>
      <w:r w:rsidRPr="00A561E1">
        <w:rPr>
          <w:rFonts w:cs="Arial"/>
        </w:rPr>
        <w:t xml:space="preserve">  Section 19 states that the NCTD Project Manager is responsible for the maintenance of the PMP.  Updates of the document will address changes to budget, schedule, and financing.  All revisions will be distributed to all recorded holders of the PMP.</w:t>
      </w:r>
    </w:p>
    <w:p w:rsidR="0044751E" w:rsidRPr="00A561E1" w:rsidRDefault="0044751E">
      <w:pPr>
        <w:pStyle w:val="TOC3"/>
      </w:pPr>
    </w:p>
    <w:p w:rsidR="0044751E" w:rsidRPr="00A561E1" w:rsidRDefault="0044751E">
      <w:pPr>
        <w:ind w:left="720"/>
      </w:pPr>
      <w:r w:rsidRPr="00A561E1">
        <w:rPr>
          <w:rFonts w:cs="Arial"/>
          <w:b/>
          <w:bCs/>
        </w:rPr>
        <w:t>PMOC Comments:</w:t>
      </w:r>
      <w:r w:rsidRPr="00A561E1">
        <w:rPr>
          <w:rFonts w:cs="Arial"/>
        </w:rPr>
        <w:t xml:space="preserve">  This requirement has been satisfactorily addressed.</w:t>
      </w:r>
    </w:p>
    <w:p w:rsidR="0044751E" w:rsidRPr="00A561E1" w:rsidRDefault="0044751E">
      <w:pPr>
        <w:rPr>
          <w:lang w:bidi="hi-IN"/>
        </w:rPr>
      </w:pPr>
    </w:p>
    <w:p w:rsidR="0044751E" w:rsidRPr="00A561E1" w:rsidRDefault="0044751E">
      <w:pPr>
        <w:pStyle w:val="Heading4"/>
      </w:pPr>
      <w:r w:rsidRPr="00A561E1">
        <w:t>Monthly Cost/Schedule Reporting</w:t>
      </w:r>
    </w:p>
    <w:p w:rsidR="0044751E" w:rsidRPr="00A561E1" w:rsidRDefault="0044751E">
      <w:pPr>
        <w:ind w:left="720"/>
        <w:rPr>
          <w:rFonts w:cs="Arial"/>
          <w:i/>
          <w:iCs/>
        </w:rPr>
      </w:pPr>
      <w:r w:rsidRPr="00A561E1">
        <w:rPr>
          <w:rFonts w:cs="Arial"/>
          <w:b/>
        </w:rPr>
        <w:t>PMP:</w:t>
      </w:r>
      <w:r w:rsidRPr="00A561E1">
        <w:rPr>
          <w:rFonts w:cs="Arial"/>
        </w:rPr>
        <w:t xml:space="preserve">  Section 3.12 states that NCTD will provide a monthly progress report to the FTA and PMOC according to the requirements of the FFGA.</w:t>
      </w:r>
    </w:p>
    <w:p w:rsidR="0044751E" w:rsidRPr="00A561E1" w:rsidRDefault="0044751E">
      <w:pPr>
        <w:ind w:left="720"/>
      </w:pPr>
    </w:p>
    <w:p w:rsidR="0044751E" w:rsidRPr="00A561E1" w:rsidRDefault="0044751E">
      <w:pPr>
        <w:ind w:left="720"/>
      </w:pPr>
      <w:r w:rsidRPr="00A561E1">
        <w:rPr>
          <w:rFonts w:cs="Arial"/>
          <w:b/>
        </w:rPr>
        <w:t>PMOC Comments:</w:t>
      </w:r>
      <w:r w:rsidRPr="00A561E1">
        <w:rPr>
          <w:rFonts w:cs="Arial"/>
        </w:rPr>
        <w:t xml:space="preserve">  This requirement has been satisfactorily addressed.</w:t>
      </w:r>
    </w:p>
    <w:p w:rsidR="0044751E" w:rsidRPr="00A561E1" w:rsidRDefault="0044751E"/>
    <w:p w:rsidR="0044751E" w:rsidRPr="00A561E1" w:rsidRDefault="0044751E">
      <w:r w:rsidRPr="00A561E1">
        <w:t xml:space="preserve">Based on a review of Revision No. 5 (dated </w:t>
      </w:r>
      <w:smartTag w:uri="urn:schemas-microsoft-com:office:smarttags" w:element="date">
        <w:smartTagPr>
          <w:attr w:name="Month" w:val="12"/>
          <w:attr w:name="Day" w:val="21"/>
          <w:attr w:name="Year" w:val="2006"/>
        </w:smartTagPr>
        <w:r w:rsidRPr="00A561E1">
          <w:t>December 21, 2006</w:t>
        </w:r>
      </w:smartTag>
      <w:r w:rsidRPr="00A561E1">
        <w:t>) of the PMP with regard to the requirements outlined in 49 CFR 633, the PMOC recommends approval of the document.</w:t>
      </w:r>
    </w:p>
    <w:p w:rsidR="0044751E" w:rsidRPr="00A561E1" w:rsidRDefault="0044751E"/>
    <w:p w:rsidR="0044751E" w:rsidRPr="00A561E1" w:rsidRDefault="0044751E">
      <w:pPr>
        <w:pStyle w:val="Heading3"/>
      </w:pPr>
      <w:bookmarkStart w:id="72" w:name="_Toc186615032"/>
      <w:r w:rsidRPr="00A561E1">
        <w:t>Quality Program Plan</w:t>
      </w:r>
      <w:bookmarkEnd w:id="72"/>
    </w:p>
    <w:p w:rsidR="0044751E" w:rsidRPr="00A561E1" w:rsidRDefault="0044751E">
      <w:r w:rsidRPr="00A561E1">
        <w:t xml:space="preserve">NCTD’s Quality Program Plan (QPP) is organized according to the four phases of a project: design, procurement, construction, and testing and startup.  The QPP addresses the FTA 15 required elements for each phase accordingly.  NCTD’s initial QPP, which was issued </w:t>
      </w:r>
      <w:smartTag w:uri="urn:schemas-microsoft-com:office:smarttags" w:element="date">
        <w:smartTagPr>
          <w:attr w:name="Month" w:val="10"/>
          <w:attr w:name="Day" w:val="6"/>
          <w:attr w:name="Year" w:val="1999"/>
        </w:smartTagPr>
        <w:r w:rsidRPr="00A561E1">
          <w:t>October 6, 1999</w:t>
        </w:r>
      </w:smartTag>
      <w:r w:rsidRPr="00A561E1">
        <w:t>, was considered fully acceptable/under revision and was being implemented during the design phase.   However, the QPP required updating to address all aspects of the construction, procurement, and testing and startup phases of the project.</w:t>
      </w:r>
    </w:p>
    <w:p w:rsidR="0044751E" w:rsidRPr="00A561E1" w:rsidRDefault="0044751E"/>
    <w:p w:rsidR="0044751E" w:rsidRPr="00A561E1" w:rsidRDefault="0044751E">
      <w:r w:rsidRPr="00A561E1">
        <w:t xml:space="preserve">NCTD submitted an updated Draft QPP (Revision 2.0 dated </w:t>
      </w:r>
      <w:smartTag w:uri="urn:schemas-microsoft-com:office:smarttags" w:element="date">
        <w:smartTagPr>
          <w:attr w:name="Month" w:val="1"/>
          <w:attr w:name="Day" w:val="19"/>
          <w:attr w:name="Year" w:val="2004"/>
        </w:smartTagPr>
        <w:r w:rsidRPr="00A561E1">
          <w:t>January 19, 2004</w:t>
        </w:r>
      </w:smartTag>
      <w:r w:rsidRPr="00A561E1">
        <w:t xml:space="preserve">) for the SPRINTER Project to the PMOC in January 2004.  The PMOC provided NCTD with review comments on </w:t>
      </w:r>
      <w:smartTag w:uri="urn:schemas-microsoft-com:office:smarttags" w:element="date">
        <w:smartTagPr>
          <w:attr w:name="Month" w:val="3"/>
          <w:attr w:name="Day" w:val="9"/>
          <w:attr w:name="Year" w:val="2004"/>
        </w:smartTagPr>
        <w:r w:rsidRPr="00A561E1">
          <w:t>March 9, 2004</w:t>
        </w:r>
      </w:smartTag>
      <w:r w:rsidRPr="00A561E1">
        <w:t xml:space="preserve">.  NCTD submitted an updated QPP (Revision 2 dated </w:t>
      </w:r>
      <w:smartTag w:uri="urn:schemas-microsoft-com:office:smarttags" w:element="date">
        <w:smartTagPr>
          <w:attr w:name="Month" w:val="4"/>
          <w:attr w:name="Day" w:val="30"/>
          <w:attr w:name="Year" w:val="2004"/>
        </w:smartTagPr>
        <w:r w:rsidRPr="00A561E1">
          <w:t>April 30, 2004</w:t>
        </w:r>
      </w:smartTag>
      <w:r w:rsidRPr="00A561E1">
        <w:t xml:space="preserve">) to the PMOC on </w:t>
      </w:r>
      <w:smartTag w:uri="urn:schemas-microsoft-com:office:smarttags" w:element="date">
        <w:smartTagPr>
          <w:attr w:name="Month" w:val="5"/>
          <w:attr w:name="Day" w:val="4"/>
          <w:attr w:name="Year" w:val="2004"/>
        </w:smartTagPr>
        <w:r w:rsidRPr="00A561E1">
          <w:t>May 4, 2004</w:t>
        </w:r>
      </w:smartTag>
      <w:r w:rsidRPr="00A561E1">
        <w:t>.</w:t>
      </w:r>
    </w:p>
    <w:p w:rsidR="0044751E" w:rsidRPr="00A561E1" w:rsidRDefault="0044751E"/>
    <w:p w:rsidR="0044751E" w:rsidRPr="00A561E1" w:rsidRDefault="0044751E">
      <w:r w:rsidRPr="00A561E1">
        <w:t xml:space="preserve">A review was performed to determine that NCTD quality policies and procedures were developed and documented to effectively perform the technical and administrative management of the quality assurance and control program in compliance with the FTA’s recommended 15 elements of a QA/QC program, as outlined in </w:t>
      </w:r>
      <w:r w:rsidRPr="00A561E1">
        <w:rPr>
          <w:i/>
          <w:iCs/>
        </w:rPr>
        <w:t>The Quality Assurance and Quality Control Guidelines</w:t>
      </w:r>
      <w:r w:rsidRPr="00A561E1">
        <w:t xml:space="preserve"> (FTA-IT-90-5001-02.1), dated February 2002.</w:t>
      </w:r>
    </w:p>
    <w:p w:rsidR="0044751E" w:rsidRPr="00A561E1" w:rsidRDefault="0044751E">
      <w:pPr>
        <w:pStyle w:val="Index1"/>
      </w:pPr>
    </w:p>
    <w:p w:rsidR="0044751E" w:rsidRPr="00A561E1" w:rsidRDefault="0044751E">
      <w:r w:rsidRPr="00A561E1">
        <w:t xml:space="preserve">The PMOC recommended FTA acceptance of Revision 2 of the QPP </w:t>
      </w:r>
      <w:smartTag w:uri="urn:schemas-microsoft-com:office:smarttags" w:element="date">
        <w:smartTagPr>
          <w:attr w:name="Month" w:val="7"/>
          <w:attr w:name="Day" w:val="27"/>
          <w:attr w:name="Year" w:val="2004"/>
        </w:smartTagPr>
        <w:r w:rsidRPr="00A561E1">
          <w:t>July 27, 2004</w:t>
        </w:r>
      </w:smartTag>
      <w:r w:rsidRPr="00A561E1">
        <w:t xml:space="preserve"> as part of Spot Report #6.  The FTA accepted the QPP on </w:t>
      </w:r>
      <w:smartTag w:uri="urn:schemas-microsoft-com:office:smarttags" w:element="date">
        <w:smartTagPr>
          <w:attr w:name="Month" w:val="8"/>
          <w:attr w:name="Day" w:val="12"/>
          <w:attr w:name="Year" w:val="2004"/>
        </w:smartTagPr>
        <w:r w:rsidRPr="00A561E1">
          <w:t>August 12, 2004</w:t>
        </w:r>
      </w:smartTag>
      <w:r w:rsidRPr="00A561E1">
        <w:t>.</w:t>
      </w:r>
    </w:p>
    <w:p w:rsidR="0044751E" w:rsidRPr="00A561E1" w:rsidRDefault="0044751E"/>
    <w:p w:rsidR="0044751E" w:rsidRPr="00A561E1" w:rsidRDefault="0044751E">
      <w:r w:rsidRPr="00A561E1">
        <w:t>It was noted in Spot Report #6 that a future revision of the QPP would be required to address key requirements that were to be outlined in the Construction Management Consultant’s Quality Assurance Plan as well as certain aspects of the testing and startup phase of the project.  NCTD submitted Revision 3 of the QPP dated May 16, 2006 that addressed these items.</w:t>
      </w:r>
    </w:p>
    <w:p w:rsidR="0044751E" w:rsidRPr="00A561E1" w:rsidRDefault="0044751E"/>
    <w:p w:rsidR="0044751E" w:rsidRPr="00A561E1" w:rsidRDefault="0044751E">
      <w:r w:rsidRPr="00A561E1">
        <w:t>It is the opinion of the PMOC that NCTD has developed a document that can be utilized to obtain quality in the design, procurement, construction, and testing and startup phases of this project.  Therefore, the PMOC considers Revision 3 of the QPP fully acceptable.  As noted above, the PMOC reviews the QPP products (e.g. audit reports, non-compliance reports, inspection reports) on a regular basis and has determined that NCTD’s quality program is being satisfactorily implemented.</w:t>
      </w:r>
    </w:p>
    <w:p w:rsidR="0044751E" w:rsidRPr="00A561E1" w:rsidRDefault="0044751E"/>
    <w:p w:rsidR="0044751E" w:rsidRPr="00A561E1" w:rsidRDefault="0044751E">
      <w:pPr>
        <w:pStyle w:val="Heading3"/>
      </w:pPr>
      <w:bookmarkStart w:id="73" w:name="_Toc186615033"/>
      <w:r w:rsidRPr="00A561E1">
        <w:t>Real Estate Acquisition and Management Plan</w:t>
      </w:r>
      <w:bookmarkEnd w:id="73"/>
    </w:p>
    <w:p w:rsidR="0044751E" w:rsidRPr="00A561E1" w:rsidRDefault="0044751E">
      <w:r w:rsidRPr="00A561E1">
        <w:t xml:space="preserve">NCTD’s Real Estate Acquisition and Management Plan (REAMP) was completed June 2001 and transmitted to FTA and the PMOC in July 2001.  The PMOC completed a review and transmitted a Review Memorandum dated </w:t>
      </w:r>
      <w:smartTag w:uri="urn:schemas-microsoft-com:office:smarttags" w:element="date">
        <w:smartTagPr>
          <w:attr w:name="Month" w:val="10"/>
          <w:attr w:name="Day" w:val="9"/>
          <w:attr w:name="Year" w:val="2001"/>
        </w:smartTagPr>
        <w:r w:rsidRPr="00A561E1">
          <w:t>October 9, 2001</w:t>
        </w:r>
      </w:smartTag>
      <w:r w:rsidRPr="00A561E1">
        <w:t xml:space="preserve"> to FTA and NCTD recommending conditional approval.  An updated REAMP was issued </w:t>
      </w:r>
      <w:smartTag w:uri="urn:schemas-microsoft-com:office:smarttags" w:element="date">
        <w:smartTagPr>
          <w:attr w:name="Month" w:val="1"/>
          <w:attr w:name="Day" w:val="31"/>
          <w:attr w:name="Year" w:val="2002"/>
        </w:smartTagPr>
        <w:r w:rsidRPr="00A561E1">
          <w:t>January 31, 2002</w:t>
        </w:r>
      </w:smartTag>
      <w:r w:rsidRPr="00A561E1">
        <w:t>.  NCTD’s REAMP is considered fully acceptable and is being implemented.</w:t>
      </w:r>
    </w:p>
    <w:p w:rsidR="0044751E" w:rsidRPr="00A561E1" w:rsidRDefault="0044751E"/>
    <w:p w:rsidR="0044751E" w:rsidRPr="00A561E1" w:rsidRDefault="0044751E">
      <w:pPr>
        <w:pStyle w:val="Heading3"/>
      </w:pPr>
      <w:bookmarkStart w:id="74" w:name="_Toc186615034"/>
      <w:r w:rsidRPr="00A561E1">
        <w:t>Rail Fleet Management Plan</w:t>
      </w:r>
      <w:bookmarkEnd w:id="74"/>
    </w:p>
    <w:p w:rsidR="0044751E" w:rsidRPr="00A561E1" w:rsidRDefault="0044751E">
      <w:r w:rsidRPr="00A561E1">
        <w:t xml:space="preserve">The Rail Fleet Management Plan (RFMP) was submitted </w:t>
      </w:r>
      <w:smartTag w:uri="urn:schemas-microsoft-com:office:smarttags" w:element="date">
        <w:smartTagPr>
          <w:attr w:name="Month" w:val="8"/>
          <w:attr w:name="Day" w:val="26"/>
          <w:attr w:name="Year" w:val="1999"/>
        </w:smartTagPr>
        <w:r w:rsidRPr="00A561E1">
          <w:t>August 26, 1999</w:t>
        </w:r>
      </w:smartTag>
      <w:r w:rsidRPr="00A561E1">
        <w:t xml:space="preserve"> and Revision 1 was submitted </w:t>
      </w:r>
      <w:smartTag w:uri="urn:schemas-microsoft-com:office:smarttags" w:element="date">
        <w:smartTagPr>
          <w:attr w:name="Month" w:val="7"/>
          <w:attr w:name="Day" w:val="25"/>
          <w:attr w:name="Year" w:val="2001"/>
        </w:smartTagPr>
        <w:r w:rsidRPr="00A561E1">
          <w:t>July 25, 2001</w:t>
        </w:r>
      </w:smartTag>
      <w:r w:rsidRPr="00A561E1">
        <w:t xml:space="preserve">.  The PMOC completed a review and transmitted a Review Memorandum to FTA and NCTD </w:t>
      </w:r>
      <w:smartTag w:uri="urn:schemas-microsoft-com:office:smarttags" w:element="date">
        <w:smartTagPr>
          <w:attr w:name="Month" w:val="10"/>
          <w:attr w:name="Day" w:val="7"/>
          <w:attr w:name="Year" w:val="2001"/>
        </w:smartTagPr>
        <w:r w:rsidRPr="00A561E1">
          <w:t>October 7, 2001</w:t>
        </w:r>
      </w:smartTag>
      <w:r w:rsidRPr="00A561E1">
        <w:t xml:space="preserve"> recommending the RFMP be revised when the FRA Waiver conditions were known.  The RFMP was considered acceptable for the FFGA compliance requirements.  NCTD submitted an updated RFMP as part of their Cost Recovery Plan in 2005.  The updated plan (Revision No. 2 dated </w:t>
      </w:r>
      <w:smartTag w:uri="urn:schemas-microsoft-com:office:smarttags" w:element="date">
        <w:smartTagPr>
          <w:attr w:name="Month" w:val="2"/>
          <w:attr w:name="Day" w:val="17"/>
          <w:attr w:name="Year" w:val="2005"/>
        </w:smartTagPr>
        <w:r w:rsidRPr="00A561E1">
          <w:t>February 17, 2005</w:t>
        </w:r>
      </w:smartTag>
      <w:r w:rsidRPr="00A561E1">
        <w:t xml:space="preserve">) was officially issued by NCTD on </w:t>
      </w:r>
      <w:smartTag w:uri="urn:schemas-microsoft-com:office:smarttags" w:element="date">
        <w:smartTagPr>
          <w:attr w:name="Month" w:val="1"/>
          <w:attr w:name="Day" w:val="6"/>
          <w:attr w:name="Year" w:val="2006"/>
        </w:smartTagPr>
        <w:r w:rsidRPr="00A561E1">
          <w:t>January 6, 2006</w:t>
        </w:r>
      </w:smartTag>
      <w:r w:rsidRPr="00A561E1">
        <w:t>.  NCTD’s RFMP is considered fully acceptable.</w:t>
      </w:r>
    </w:p>
    <w:p w:rsidR="0044751E" w:rsidRPr="00A561E1" w:rsidRDefault="0044751E"/>
    <w:p w:rsidR="0044751E" w:rsidRPr="00A561E1" w:rsidRDefault="0044751E">
      <w:pPr>
        <w:pStyle w:val="Heading3"/>
      </w:pPr>
      <w:bookmarkStart w:id="75" w:name="_Toc186615035"/>
      <w:r w:rsidRPr="00A561E1">
        <w:t>Bus Fleet Management Plan</w:t>
      </w:r>
      <w:bookmarkEnd w:id="75"/>
    </w:p>
    <w:p w:rsidR="0044751E" w:rsidRPr="00A561E1" w:rsidRDefault="0044751E">
      <w:r w:rsidRPr="00A561E1">
        <w:t xml:space="preserve">The Bus Fleet Management Plan (BFMP) was submitted on </w:t>
      </w:r>
      <w:smartTag w:uri="urn:schemas-microsoft-com:office:smarttags" w:element="date">
        <w:smartTagPr>
          <w:attr w:name="Month" w:val="12"/>
          <w:attr w:name="Day" w:val="10"/>
          <w:attr w:name="Year" w:val="1999"/>
        </w:smartTagPr>
        <w:r w:rsidRPr="00A561E1">
          <w:t>December 10, 1999</w:t>
        </w:r>
      </w:smartTag>
      <w:r w:rsidRPr="00A561E1">
        <w:t xml:space="preserve">.  NCTD noted that the BFMP would be revised in accordance with FTA’s guidance on BFMPs for New Starts.  NCTD revised the plan in July 2001.  The PMOC completed a review and transmitted the Review Memorandum to FTA and NCTD in November 2001 recommending that NCTD identify specific positive/negative impacts on bus service route changes/additions/deletions as a result of the SPRINTER Project.  NCTD re-issued the BFMP on </w:t>
      </w:r>
      <w:smartTag w:uri="urn:schemas-microsoft-com:office:smarttags" w:element="date">
        <w:smartTagPr>
          <w:attr w:name="Month" w:val="1"/>
          <w:attr w:name="Day" w:val="31"/>
          <w:attr w:name="Year" w:val="2002"/>
        </w:smartTagPr>
        <w:r w:rsidRPr="00A561E1">
          <w:t>January 31, 2002</w:t>
        </w:r>
      </w:smartTag>
      <w:r w:rsidRPr="00A561E1">
        <w:t xml:space="preserve">.  A Supplemental Information Document was issued </w:t>
      </w:r>
      <w:smartTag w:uri="urn:schemas-microsoft-com:office:smarttags" w:element="date">
        <w:smartTagPr>
          <w:attr w:name="Year" w:val="2002"/>
          <w:attr w:name="Day" w:val="21"/>
          <w:attr w:name="Month" w:val="3"/>
        </w:smartTagPr>
        <w:r w:rsidRPr="00A561E1">
          <w:t>March 21, 2002</w:t>
        </w:r>
      </w:smartTag>
      <w:r w:rsidRPr="00A561E1">
        <w:t xml:space="preserve"> that provided additional information regarding financial capacity for operations, a summary of Before and After Studies, and the fleet.  The BFMP, in combination with the Supplemental Information Document dated </w:t>
      </w:r>
      <w:smartTag w:uri="urn:schemas-microsoft-com:office:smarttags" w:element="date">
        <w:smartTagPr>
          <w:attr w:name="Month" w:val="3"/>
          <w:attr w:name="Day" w:val="21"/>
          <w:attr w:name="Year" w:val="2002"/>
        </w:smartTagPr>
        <w:r w:rsidRPr="00A561E1">
          <w:t>March 21, 2002</w:t>
        </w:r>
      </w:smartTag>
      <w:r w:rsidRPr="00A561E1">
        <w:t xml:space="preserve">, provided a fully acceptable plan.   However, NCTD is to update the BFMP to incorporate the Supplemental Information Document as well as reflect any proposed bus service changes.  </w:t>
      </w:r>
      <w:r w:rsidR="00AF0D61" w:rsidRPr="00A561E1">
        <w:t>This will be completed in advance of any bus service adjustments associated with the SPRINTER ROD.  The update will be developed with support from SANDAG.</w:t>
      </w:r>
    </w:p>
    <w:p w:rsidR="0044751E" w:rsidRPr="00A561E1" w:rsidRDefault="0044751E"/>
    <w:p w:rsidR="0044751E" w:rsidRPr="00A561E1" w:rsidRDefault="0044751E">
      <w:pPr>
        <w:pStyle w:val="Heading3"/>
      </w:pPr>
      <w:bookmarkStart w:id="76" w:name="_Toc186615036"/>
      <w:r w:rsidRPr="00A561E1">
        <w:t>System Safety Program Plan</w:t>
      </w:r>
      <w:r w:rsidR="002B27B3" w:rsidRPr="00A561E1">
        <w:t xml:space="preserve"> and System Security Plan</w:t>
      </w:r>
      <w:bookmarkEnd w:id="76"/>
    </w:p>
    <w:p w:rsidR="0044751E" w:rsidRPr="00A561E1" w:rsidRDefault="0044751E">
      <w:r w:rsidRPr="00A561E1">
        <w:t xml:space="preserve">The System Safety Program </w:t>
      </w:r>
      <w:r w:rsidR="009E79DC" w:rsidRPr="00A561E1">
        <w:t>Plan</w:t>
      </w:r>
      <w:r w:rsidRPr="00A561E1">
        <w:t xml:space="preserve"> and System Security Plan require formal approval by the CPUC since the SPRINTER is a new transit system.  </w:t>
      </w:r>
      <w:r w:rsidR="00734842" w:rsidRPr="00A561E1">
        <w:t>Both p</w:t>
      </w:r>
      <w:r w:rsidR="009E79DC" w:rsidRPr="00A561E1">
        <w:t>lan</w:t>
      </w:r>
      <w:r w:rsidR="00734842" w:rsidRPr="00A561E1">
        <w:t>s</w:t>
      </w:r>
      <w:r w:rsidR="009E79DC" w:rsidRPr="00A561E1">
        <w:t xml:space="preserve"> </w:t>
      </w:r>
      <w:r w:rsidR="00734842" w:rsidRPr="00A561E1">
        <w:t>have</w:t>
      </w:r>
      <w:r w:rsidR="009E79DC" w:rsidRPr="00A561E1">
        <w:t xml:space="preserve"> been </w:t>
      </w:r>
      <w:r w:rsidR="00734842" w:rsidRPr="00A561E1">
        <w:t>accepted as submitted by CPUC staff.</w:t>
      </w:r>
      <w:r w:rsidR="009E79DC" w:rsidRPr="00A561E1">
        <w:t xml:space="preserve">  Approval of both plans is to be included on </w:t>
      </w:r>
      <w:r w:rsidR="00610F0C" w:rsidRPr="00A561E1">
        <w:t xml:space="preserve">the </w:t>
      </w:r>
      <w:smartTag w:uri="urn:schemas-microsoft-com:office:smarttags" w:element="date">
        <w:smartTagPr>
          <w:attr w:name="Month" w:val="1"/>
          <w:attr w:name="Day" w:val="10"/>
          <w:attr w:name="Year" w:val="2008"/>
        </w:smartTagPr>
        <w:r w:rsidR="00C53C4F" w:rsidRPr="00A561E1">
          <w:t>January 10</w:t>
        </w:r>
        <w:r w:rsidR="00734842" w:rsidRPr="00A561E1">
          <w:t xml:space="preserve">, </w:t>
        </w:r>
        <w:r w:rsidR="009E79DC" w:rsidRPr="00A561E1">
          <w:t>200</w:t>
        </w:r>
        <w:r w:rsidR="00C53C4F" w:rsidRPr="00A561E1">
          <w:t>8</w:t>
        </w:r>
      </w:smartTag>
      <w:r w:rsidR="009E79DC" w:rsidRPr="00A561E1">
        <w:t xml:space="preserve"> Commission agenda</w:t>
      </w:r>
      <w:r w:rsidR="00C7796C" w:rsidRPr="00A561E1">
        <w:t>.  If approved as expected, this timeframe would support NCTD’s date for the start of initial revenue service.</w:t>
      </w:r>
      <w:r w:rsidR="009E79DC" w:rsidRPr="00A561E1">
        <w:t xml:space="preserve">  </w:t>
      </w:r>
      <w:r w:rsidRPr="00A561E1">
        <w:t xml:space="preserve">Therefore, it is not anticipated that the approval process will impact the </w:t>
      </w:r>
      <w:r w:rsidR="00310FAE" w:rsidRPr="00A561E1">
        <w:t xml:space="preserve">FFGA Amendment </w:t>
      </w:r>
      <w:r w:rsidR="003B4AAA" w:rsidRPr="00A561E1">
        <w:t>ROD</w:t>
      </w:r>
      <w:r w:rsidRPr="00A561E1">
        <w:t>.</w:t>
      </w:r>
    </w:p>
    <w:p w:rsidR="0044751E" w:rsidRPr="00A561E1" w:rsidRDefault="0044751E"/>
    <w:p w:rsidR="0044751E" w:rsidRPr="00A561E1" w:rsidRDefault="0044751E">
      <w:pPr>
        <w:pStyle w:val="Heading3"/>
      </w:pPr>
      <w:bookmarkStart w:id="77" w:name="_Toc186615037"/>
      <w:r w:rsidRPr="00A561E1">
        <w:t>Safety Certification Plan</w:t>
      </w:r>
      <w:bookmarkEnd w:id="77"/>
    </w:p>
    <w:p w:rsidR="0044751E" w:rsidRPr="00A561E1" w:rsidRDefault="0044751E">
      <w:r w:rsidRPr="00A561E1">
        <w:t xml:space="preserve">NCTD has developed a Safety Certification Plan, which is supported by five Conformance Checklists: one each for the three construction contracts; one for the DMUs; and one for the System Design Criteria.  These </w:t>
      </w:r>
      <w:r w:rsidR="00734842" w:rsidRPr="00A561E1">
        <w:t xml:space="preserve">preliminary </w:t>
      </w:r>
      <w:r w:rsidRPr="00A561E1">
        <w:t xml:space="preserve">checklists have been reviewed by the </w:t>
      </w:r>
      <w:r w:rsidR="008B0234" w:rsidRPr="00A561E1">
        <w:t>CPUC</w:t>
      </w:r>
      <w:r w:rsidRPr="00A561E1">
        <w:t xml:space="preserve"> and the PMOC with no significant comments identified.</w:t>
      </w:r>
    </w:p>
    <w:p w:rsidR="0044751E" w:rsidRPr="00A561E1" w:rsidRDefault="0044751E"/>
    <w:p w:rsidR="00734842" w:rsidRPr="00A561E1" w:rsidRDefault="00734842" w:rsidP="00734842">
      <w:r w:rsidRPr="00A561E1">
        <w:t xml:space="preserve">At the time of this Spot Report, the draft narrative of the Safety Certification Verification Report had been submitted to CPUC for review.  The safety certification checklists that are to be included in the report are being prepared.  It is anticipated that the final report will be submitted to the CPUC in </w:t>
      </w:r>
      <w:r w:rsidR="00F9114A" w:rsidRPr="00A561E1">
        <w:t>early January 2008</w:t>
      </w:r>
      <w:r w:rsidRPr="00A561E1">
        <w:t xml:space="preserve">, pending completion of the integrated testing.  NCTD is scheduled to present a summary of their report to CPUC management on </w:t>
      </w:r>
      <w:smartTag w:uri="urn:schemas-microsoft-com:office:smarttags" w:element="date">
        <w:smartTagPr>
          <w:attr w:name="Month" w:val="1"/>
          <w:attr w:name="Day" w:val="7"/>
          <w:attr w:name="Year" w:val="2008"/>
        </w:smartTagPr>
        <w:r w:rsidR="00F9114A" w:rsidRPr="00A561E1">
          <w:t>January 7, 2008</w:t>
        </w:r>
      </w:smartTag>
      <w:r w:rsidR="00F9114A" w:rsidRPr="00A561E1">
        <w:t xml:space="preserve"> </w:t>
      </w:r>
      <w:r w:rsidRPr="00A561E1">
        <w:t xml:space="preserve">in </w:t>
      </w:r>
      <w:smartTag w:uri="urn:schemas-microsoft-com:office:smarttags" w:element="place">
        <w:smartTag w:uri="urn:schemas-microsoft-com:office:smarttags" w:element="City">
          <w:r w:rsidRPr="00A561E1">
            <w:t>Los Angeles</w:t>
          </w:r>
        </w:smartTag>
        <w:r w:rsidRPr="00A561E1">
          <w:t xml:space="preserve">, </w:t>
        </w:r>
        <w:smartTag w:uri="urn:schemas-microsoft-com:office:smarttags" w:element="State">
          <w:r w:rsidRPr="00A561E1">
            <w:t>California</w:t>
          </w:r>
        </w:smartTag>
      </w:smartTag>
      <w:r w:rsidRPr="00A561E1">
        <w:t xml:space="preserve">.  Approval of the Safety Certification Verification Report can occur at any time but must be prior to the start of any revenue service.  This activity could impact NCTD’s target </w:t>
      </w:r>
      <w:r w:rsidR="00F219B8" w:rsidRPr="00A561E1">
        <w:t>date for the “soft opening”</w:t>
      </w:r>
      <w:r w:rsidRPr="00A561E1">
        <w:t xml:space="preserve">, but not the FFGA Amendment ROD of </w:t>
      </w:r>
      <w:smartTag w:uri="urn:schemas-microsoft-com:office:smarttags" w:element="date">
        <w:smartTagPr>
          <w:attr w:name="Month" w:val="7"/>
          <w:attr w:name="Day" w:val="1"/>
          <w:attr w:name="Year" w:val="2008"/>
        </w:smartTagPr>
        <w:r w:rsidRPr="00A561E1">
          <w:t>July 1, 2008</w:t>
        </w:r>
      </w:smartTag>
      <w:r w:rsidRPr="00A561E1">
        <w:t>.</w:t>
      </w:r>
    </w:p>
    <w:p w:rsidR="0044751E" w:rsidRPr="00A561E1" w:rsidRDefault="0044751E"/>
    <w:p w:rsidR="0044751E" w:rsidRPr="00A561E1" w:rsidRDefault="0044751E"/>
    <w:p w:rsidR="0044751E" w:rsidRPr="00A561E1" w:rsidRDefault="0044751E">
      <w:pPr>
        <w:sectPr w:rsidR="0044751E" w:rsidRPr="00A561E1">
          <w:headerReference w:type="default" r:id="rId21"/>
          <w:pgSz w:w="12240" w:h="15840" w:code="1"/>
          <w:pgMar w:top="1440" w:right="1440" w:bottom="1728" w:left="1440" w:header="720" w:footer="720" w:gutter="0"/>
          <w:cols w:space="720"/>
          <w:docGrid w:linePitch="360"/>
        </w:sectPr>
      </w:pPr>
    </w:p>
    <w:p w:rsidR="0044751E" w:rsidRPr="00A561E1" w:rsidRDefault="0044751E">
      <w:pPr>
        <w:pStyle w:val="Heading2"/>
      </w:pPr>
      <w:bookmarkStart w:id="78" w:name="_Toc186615038"/>
      <w:r w:rsidRPr="00A561E1">
        <w:t>FFGA AMENDMENT ATTACHMENTS ASSESSMENT</w:t>
      </w:r>
      <w:bookmarkEnd w:id="78"/>
    </w:p>
    <w:p w:rsidR="0044751E" w:rsidRPr="00A561E1" w:rsidRDefault="0044751E">
      <w:r w:rsidRPr="00A561E1">
        <w:t xml:space="preserve">The PMOC reviewed NCTD’s FFGA Amendment Attachments in accordance with FTA’s Circular C5200.1A Chapter III, dated </w:t>
      </w:r>
      <w:smartTag w:uri="urn:schemas-microsoft-com:office:smarttags" w:element="date">
        <w:smartTagPr>
          <w:attr w:name="Month" w:val="12"/>
          <w:attr w:name="Day" w:val="5"/>
          <w:attr w:name="Year" w:val="2002"/>
        </w:smartTagPr>
        <w:r w:rsidRPr="00A561E1">
          <w:t>December 5, 2002</w:t>
        </w:r>
      </w:smartTag>
      <w:r w:rsidRPr="00A561E1">
        <w:t>.  The PMOC concluded that the Attachments are consistent with the FTA guidance.</w:t>
      </w:r>
    </w:p>
    <w:p w:rsidR="0044751E" w:rsidRPr="00A561E1" w:rsidRDefault="0044751E"/>
    <w:p w:rsidR="0044751E" w:rsidRPr="00A561E1" w:rsidRDefault="0044751E">
      <w:pPr>
        <w:pStyle w:val="Heading3"/>
      </w:pPr>
      <w:bookmarkStart w:id="79" w:name="_Toc186615039"/>
      <w:r w:rsidRPr="00A561E1">
        <w:t>Attachment 1 – Scope of the Project</w:t>
      </w:r>
      <w:bookmarkEnd w:id="79"/>
    </w:p>
    <w:p w:rsidR="0044751E" w:rsidRPr="00A561E1" w:rsidRDefault="0044751E">
      <w:r w:rsidRPr="00A561E1">
        <w:t>Any change to the Scope of the Project as stated in Attachment 1 is deemed a major modification of the FFGA; thus, it would require a formal amendment of the FFGA in accordance with the procedures set forth in FTA Circular 5010.1C.</w:t>
      </w:r>
    </w:p>
    <w:p w:rsidR="0044751E" w:rsidRPr="00A561E1" w:rsidRDefault="0044751E"/>
    <w:p w:rsidR="0044751E" w:rsidRPr="00A561E1" w:rsidRDefault="0044751E">
      <w:r w:rsidRPr="00A561E1">
        <w:t>Attachment 1 defines the scope of the SPRINTER Project, including discussions of the transportation purposes, objectives, design features, projected ridership and basic operational functions.  A review of Attachment 1 confirms there are no changes to the scope of the project as it relates to the original FFGA Attachment 1.  The PMOC considers Attachment 1 acceptable.</w:t>
      </w:r>
    </w:p>
    <w:p w:rsidR="0044751E" w:rsidRPr="00A561E1" w:rsidRDefault="0044751E"/>
    <w:p w:rsidR="0044751E" w:rsidRPr="00A561E1" w:rsidRDefault="0044751E">
      <w:pPr>
        <w:pStyle w:val="Heading3"/>
      </w:pPr>
      <w:bookmarkStart w:id="80" w:name="_Toc186615040"/>
      <w:r w:rsidRPr="00A561E1">
        <w:t>Attachment 1A – Project Map</w:t>
      </w:r>
      <w:bookmarkEnd w:id="80"/>
    </w:p>
    <w:p w:rsidR="0044751E" w:rsidRPr="00A561E1" w:rsidRDefault="0044751E">
      <w:r w:rsidRPr="00A561E1">
        <w:t>Attachment 1A consists of two SPRINTER Project maps.  Both maps display the project alignment, a north arrow, major freeways, and the existing rail line service.  The location map displays the SPRINTER Project and the proposed stations with respect to the Regional Corridor Map, major streets, and highways.  The PMOC review of Attachment 1A confirms that the map is consistent with the scope contained in the PMP and contains the required elements as identified in the FTA guidance.  The PMOC considers Attachment 1A acceptable.</w:t>
      </w:r>
    </w:p>
    <w:p w:rsidR="0044751E" w:rsidRPr="00A561E1" w:rsidRDefault="0044751E"/>
    <w:p w:rsidR="0044751E" w:rsidRPr="00A561E1" w:rsidRDefault="0044751E">
      <w:pPr>
        <w:pStyle w:val="Heading3"/>
      </w:pPr>
      <w:bookmarkStart w:id="81" w:name="_Toc186615041"/>
      <w:r w:rsidRPr="00A561E1">
        <w:t>Attachment 2 – Project Description</w:t>
      </w:r>
      <w:bookmarkEnd w:id="81"/>
    </w:p>
    <w:p w:rsidR="0044751E" w:rsidRPr="00A561E1" w:rsidRDefault="0044751E">
      <w:r w:rsidRPr="00A561E1">
        <w:t>Attachment 2 identifies and describes each of the discrete activities necessary to accomplish the stated purpose, objective, and transportation functions of the project.  Each project activity identified in Attachment 2 is ascribed to an individual contract unit.  Thus, the level of detail set forth in an Attachment 2 is greater than that presented in Attachment 1.  All contract units listed in Attachment 2 are carried forward to Attachments 3 and 4.  There are no significant changes to Attachment 2 from that presented in the original FFGA.  The PMOC considers Attachment 2 acceptable.</w:t>
      </w:r>
    </w:p>
    <w:p w:rsidR="0044751E" w:rsidRPr="00A561E1" w:rsidRDefault="0044751E"/>
    <w:p w:rsidR="0044751E" w:rsidRPr="00A561E1" w:rsidRDefault="0044751E">
      <w:pPr>
        <w:pStyle w:val="Heading3"/>
      </w:pPr>
      <w:bookmarkStart w:id="82" w:name="_Toc186615042"/>
      <w:r w:rsidRPr="00A561E1">
        <w:t>Attachment 3 – Baseline Cost Estimate</w:t>
      </w:r>
      <w:bookmarkEnd w:id="82"/>
    </w:p>
    <w:p w:rsidR="0044751E" w:rsidRPr="00A561E1" w:rsidRDefault="0044751E">
      <w:r w:rsidRPr="00A561E1">
        <w:t>The Baseline Cost Estimate (BCE) is a critical tool for project oversight.  It enables FTA and its PMOC to monitor project costs throughout all phases by comparing the Grantee’s actual expenditures to the costs as originally estimated.  FTA does not allow any modification of Attachment 3 to an FFGA without a formal amendment.  The procedures for amending or revising an Approved Project Budget are set forth in FTA Circular 5010.1C.</w:t>
      </w:r>
    </w:p>
    <w:p w:rsidR="0044751E" w:rsidRPr="00A561E1" w:rsidRDefault="0044751E"/>
    <w:p w:rsidR="0044751E" w:rsidRPr="00A561E1" w:rsidRDefault="0044751E">
      <w:r w:rsidRPr="00A561E1">
        <w:t xml:space="preserve">Attachment 3 itemizes cost by contract unit, reflects the items eligible for </w:t>
      </w:r>
      <w:r w:rsidR="00433912" w:rsidRPr="00A561E1">
        <w:t>f</w:t>
      </w:r>
      <w:r w:rsidRPr="00A561E1">
        <w:t>ederal assistance with the estimated total project cost, and encompasses all the activities listed in the project description.  The BCE identifies the allocated contingency included in each line item and the unallocated contingency for the SPRINTER Project.</w:t>
      </w:r>
    </w:p>
    <w:p w:rsidR="0044751E" w:rsidRPr="00A561E1" w:rsidRDefault="0044751E"/>
    <w:p w:rsidR="0044751E" w:rsidRPr="00A561E1" w:rsidRDefault="0044751E">
      <w:r w:rsidRPr="00A561E1">
        <w:t xml:space="preserve">The amended FFGA BCE is $484,138,940.  This BCE was developed in accordance with the </w:t>
      </w:r>
      <w:r w:rsidR="00DC5C31">
        <w:t xml:space="preserve">2006 </w:t>
      </w:r>
      <w:r w:rsidR="00DC654F" w:rsidRPr="00A561E1">
        <w:t xml:space="preserve">Cost Risk Assessment </w:t>
      </w:r>
      <w:r w:rsidRPr="00A561E1">
        <w:t>included in Spot Report #9</w:t>
      </w:r>
      <w:r w:rsidR="004C6A02">
        <w:t xml:space="preserve">, as verified with the 2007 Cost Risk Assessment, </w:t>
      </w:r>
      <w:r w:rsidRPr="00A561E1">
        <w:t>and is acceptable.</w:t>
      </w:r>
    </w:p>
    <w:p w:rsidR="0044751E" w:rsidRPr="00A561E1" w:rsidRDefault="0044751E"/>
    <w:p w:rsidR="0044751E" w:rsidRPr="00A561E1" w:rsidRDefault="0044751E">
      <w:pPr>
        <w:pStyle w:val="Heading3"/>
      </w:pPr>
      <w:bookmarkStart w:id="83" w:name="_Toc186615043"/>
      <w:r w:rsidRPr="00A561E1">
        <w:t>Attachment 3A – Project Budget</w:t>
      </w:r>
      <w:bookmarkEnd w:id="83"/>
    </w:p>
    <w:p w:rsidR="0044751E" w:rsidRPr="00A561E1" w:rsidRDefault="0044751E">
      <w:r w:rsidRPr="00A561E1">
        <w:t>Attachment 3A identifies the budget for the entire SPRINTER Project by activity line item.  Each activity line item is broken down into funding sources with the corresponding contract unit number.  The PMOC concludes that the cost estimates shown in this attachment are consistent with the cost estimate as shown in the PMP and that NCTD has accurately shown the costs by contract unit and by funding source.</w:t>
      </w:r>
    </w:p>
    <w:p w:rsidR="0044751E" w:rsidRPr="00A561E1" w:rsidRDefault="0044751E"/>
    <w:p w:rsidR="0044751E" w:rsidRPr="00A561E1" w:rsidRDefault="0044751E">
      <w:pPr>
        <w:pStyle w:val="Heading3"/>
      </w:pPr>
      <w:bookmarkStart w:id="84" w:name="_Toc186615044"/>
      <w:r w:rsidRPr="00A561E1">
        <w:t>Attachment 4 – Baseline Schedule</w:t>
      </w:r>
      <w:bookmarkEnd w:id="84"/>
    </w:p>
    <w:p w:rsidR="0044751E" w:rsidRPr="00A561E1" w:rsidRDefault="0044751E">
      <w:r w:rsidRPr="00A561E1">
        <w:t>Routinely, a Grantee may adjust its own internal scheduling as a project moves through design and construction toward completion.  However, FTA does not allow any modification of Attachment 4 without a formal amendment.  Like the Baseline Cost Estimate, the Baseline Schedule is a means for FTA and its PMOC to compare planned project implementation to actual performance.  Specifically, the Baseline Schedule is a tool for tracking the major milestones in construction and the critical path leading to the ROD.</w:t>
      </w:r>
    </w:p>
    <w:p w:rsidR="0044751E" w:rsidRPr="00A561E1" w:rsidRDefault="0044751E"/>
    <w:p w:rsidR="0044751E" w:rsidRPr="00A561E1" w:rsidRDefault="0044751E">
      <w:r w:rsidRPr="00A561E1">
        <w:t>Information provided in Attachment 4 is consistent with information in Attachments 2 and 3. The Baseline Schedule reflects each of the contract units at the start and completion of the SPRINTER Project.  The Baseline Schedule is presented in a Gantt chart format that highlights major milestones and the project’s path toward the amended ROD of July 2008.</w:t>
      </w:r>
    </w:p>
    <w:p w:rsidR="0044751E" w:rsidRPr="00A561E1" w:rsidRDefault="0044751E"/>
    <w:p w:rsidR="00CC410A" w:rsidRPr="00A561E1" w:rsidRDefault="00CC410A" w:rsidP="00CC410A">
      <w:r w:rsidRPr="00A561E1">
        <w:t xml:space="preserve">It should be noted that NCTD’s current target date of January 2008 for the start of initial revenue service is possible.  However, all remaining construction, testing, and operator training must succinctly execute without disruption to meet this date.  While the </w:t>
      </w:r>
      <w:r w:rsidRPr="00A561E1">
        <w:rPr>
          <w:bCs/>
        </w:rPr>
        <w:t xml:space="preserve">PMOC recognizes the difficulty in meeting NCTD’s target date for the start of revenue service, the PMOC is confident the FFGA Amendment ROD of </w:t>
      </w:r>
      <w:smartTag w:uri="urn:schemas-microsoft-com:office:smarttags" w:element="date">
        <w:smartTagPr>
          <w:attr w:name="Month" w:val="7"/>
          <w:attr w:name="Day" w:val="1"/>
          <w:attr w:name="Year" w:val="2008"/>
        </w:smartTagPr>
        <w:r w:rsidRPr="00A561E1">
          <w:rPr>
            <w:bCs/>
          </w:rPr>
          <w:t>July 1, 2008</w:t>
        </w:r>
      </w:smartTag>
      <w:r w:rsidRPr="00A561E1">
        <w:rPr>
          <w:bCs/>
        </w:rPr>
        <w:t xml:space="preserve"> </w:t>
      </w:r>
      <w:r w:rsidRPr="00A561E1">
        <w:t>can be readily achieved.  Based on the current trends, the PMOC is of the opinion that full revenue service will be accomplished by April 2008.  Additionally, the PMOC is of the opinion that closeout of the SPRINTER Project can occur by the end of 2008 based on the current status of all contracts.</w:t>
      </w:r>
    </w:p>
    <w:p w:rsidR="0044751E" w:rsidRPr="00A561E1" w:rsidRDefault="0044751E"/>
    <w:p w:rsidR="0044751E" w:rsidRPr="00A561E1" w:rsidRDefault="0044751E">
      <w:pPr>
        <w:pStyle w:val="Heading3"/>
      </w:pPr>
      <w:bookmarkStart w:id="85" w:name="_Toc186615045"/>
      <w:r w:rsidRPr="00A561E1">
        <w:t>Attachment 5 – Prior Grants and Related Documents</w:t>
      </w:r>
      <w:bookmarkEnd w:id="85"/>
    </w:p>
    <w:p w:rsidR="0044751E" w:rsidRPr="00A561E1" w:rsidRDefault="0044751E">
      <w:r w:rsidRPr="00A561E1">
        <w:t>NCTD has updated Attachment 5 to accurately reflect the grant history.  The PMOC considers Attachment 5 acceptable.</w:t>
      </w:r>
    </w:p>
    <w:p w:rsidR="0044751E" w:rsidRPr="00A561E1" w:rsidRDefault="0044751E"/>
    <w:p w:rsidR="0044751E" w:rsidRPr="00A561E1" w:rsidRDefault="0044751E">
      <w:pPr>
        <w:pStyle w:val="Heading3"/>
      </w:pPr>
      <w:bookmarkStart w:id="86" w:name="_Toc186615046"/>
      <w:r w:rsidRPr="00A561E1">
        <w:t>Attachment 6 – Schedule of Federal Funds</w:t>
      </w:r>
      <w:bookmarkEnd w:id="86"/>
    </w:p>
    <w:p w:rsidR="0044751E" w:rsidRPr="00A561E1" w:rsidRDefault="0044751E">
      <w:r w:rsidRPr="00A561E1">
        <w:t>NCTD has updated Attachment 6 to reflect the curren</w:t>
      </w:r>
      <w:r w:rsidR="00124E1E" w:rsidRPr="00A561E1">
        <w:t>t schedule for disbursement of f</w:t>
      </w:r>
      <w:r w:rsidRPr="00A561E1">
        <w:t>ederal funds.  The PMOC considers Attachment 6 acceptable.</w:t>
      </w:r>
    </w:p>
    <w:p w:rsidR="0044751E" w:rsidRPr="00A561E1" w:rsidRDefault="0044751E"/>
    <w:p w:rsidR="0044751E" w:rsidRPr="00A561E1" w:rsidRDefault="0044751E">
      <w:pPr>
        <w:pStyle w:val="Heading3"/>
      </w:pPr>
      <w:bookmarkStart w:id="87" w:name="_Toc186615047"/>
      <w:r w:rsidRPr="00A561E1">
        <w:t>Attachment 7 – Measures to Mitigate Environmental Impacts</w:t>
      </w:r>
      <w:bookmarkEnd w:id="87"/>
    </w:p>
    <w:p w:rsidR="0044751E" w:rsidRPr="00A561E1" w:rsidRDefault="0044751E">
      <w:r w:rsidRPr="00A561E1">
        <w:t>Attachment 7 provides a comprehensive list of actual and potential project impacts that will or may require mitigation.  Environmental features that may affect project design and construction are also identified, and appropriate measures to address these unique features are spelled out.  In general, the nature and extent of the required mitigation is adequately described in Attachment 7.</w:t>
      </w:r>
    </w:p>
    <w:p w:rsidR="0044751E" w:rsidRPr="00A561E1" w:rsidRDefault="0044751E"/>
    <w:p w:rsidR="0044751E" w:rsidRPr="00A561E1" w:rsidRDefault="0044751E">
      <w:pPr>
        <w:pStyle w:val="Heading3"/>
      </w:pPr>
      <w:bookmarkStart w:id="88" w:name="_Toc186615048"/>
      <w:r w:rsidRPr="00A561E1">
        <w:t>Attachment 8 – Before-and-After Study</w:t>
      </w:r>
      <w:bookmarkEnd w:id="88"/>
    </w:p>
    <w:p w:rsidR="0044751E" w:rsidRPr="00A561E1" w:rsidRDefault="0044751E">
      <w:r w:rsidRPr="00A561E1">
        <w:t>FTA’s final rule on major capital investment projects (49 CFR Part 611) requires that project sponsors seeking an FFGA submit a complete plan for the collection and analysis of information to identify the impacts of their projects and the accuracy of their forecasts.  FTA further refers to the development of a plan which outlines data collection and analysis activities in support of the Study as the Before and After Study Plan.</w:t>
      </w:r>
    </w:p>
    <w:p w:rsidR="0044751E" w:rsidRPr="00A561E1" w:rsidRDefault="0044751E"/>
    <w:p w:rsidR="0044751E" w:rsidRPr="00A561E1" w:rsidRDefault="0044751E">
      <w:r w:rsidRPr="00A561E1">
        <w:t>The plan should cover the collection of information on five characteristics of the project and its associated transit services. The plan should further address how the data measuring the effects of the New Starts project will be collected and how the subsequent analysis of travel patterns and costs before and after implementation and operation of the project will be undertaken.  Modifications to an existing plan driven by an FFGA amendment must also be reviewed for acceptability.</w:t>
      </w:r>
    </w:p>
    <w:p w:rsidR="0044751E" w:rsidRPr="00A561E1" w:rsidRDefault="0044751E"/>
    <w:p w:rsidR="0044751E" w:rsidRPr="00A561E1" w:rsidRDefault="0044751E">
      <w:pPr>
        <w:sectPr w:rsidR="0044751E" w:rsidRPr="00A561E1">
          <w:headerReference w:type="default" r:id="rId22"/>
          <w:pgSz w:w="12240" w:h="15840" w:code="1"/>
          <w:pgMar w:top="1440" w:right="1440" w:bottom="1728" w:left="1440" w:header="720" w:footer="720" w:gutter="0"/>
          <w:cols w:space="720"/>
          <w:docGrid w:linePitch="360"/>
        </w:sectPr>
      </w:pPr>
      <w:r w:rsidRPr="00A561E1">
        <w:t>Attachment 8 documents NCTD’s commitment to conduct a Before-and-After study.  The study will measure the benefits of the SPRINTER Project and assess the accuracy of forecasts prepared during the project’s development phase.  Pertinent variables to be addressed at three major project milestones during the development and operation of the SPRINTER Project include project scope, service levels, capital costs, operation and maintenance costs, ridership patterns, and project content.  The PMOC is of the opinion that the Before and After Plan, as identified in Attachment 8, meets the intent of the FTA guideline.</w:t>
      </w:r>
    </w:p>
    <w:p w:rsidR="0044751E" w:rsidRPr="00A561E1" w:rsidRDefault="0044751E">
      <w:pPr>
        <w:pStyle w:val="Heading2"/>
      </w:pPr>
      <w:bookmarkStart w:id="89" w:name="_Toc186615049"/>
      <w:r w:rsidRPr="00A561E1">
        <w:t>CONCLUSION</w:t>
      </w:r>
      <w:bookmarkEnd w:id="89"/>
    </w:p>
    <w:p w:rsidR="0044751E" w:rsidRPr="00A561E1" w:rsidRDefault="0044751E">
      <w:r w:rsidRPr="00A561E1">
        <w:t>Under the direction of the FTA Task Order Manager for Region IX, the PMOC has re-evaluated NCTD’s technical capacity and capability to complete the SPRINTER Project within the scope, schedule, and budget as identified in the proposed FFGA Amendment Attachments and supporting documentation.</w:t>
      </w:r>
      <w:bookmarkEnd w:id="67"/>
      <w:r w:rsidRPr="00A561E1">
        <w:t xml:space="preserve">  Based on reviews of these documents, the PMOC concludes the following:</w:t>
      </w:r>
    </w:p>
    <w:p w:rsidR="0044751E" w:rsidRPr="00A561E1" w:rsidRDefault="0044751E"/>
    <w:p w:rsidR="0044751E" w:rsidRPr="00A561E1" w:rsidRDefault="0044751E">
      <w:pPr>
        <w:numPr>
          <w:ilvl w:val="0"/>
          <w:numId w:val="8"/>
        </w:numPr>
      </w:pPr>
      <w:r w:rsidRPr="00A561E1">
        <w:t>Technical Capacity and Technical Capability to Implement the Project – Revision No. 5 of the PMP (dated September 2006) provides for adequate technical capacity and capability to execute the project in accordance with the amended FFGA Attachments.</w:t>
      </w:r>
    </w:p>
    <w:p w:rsidR="0044751E" w:rsidRPr="00A561E1" w:rsidRDefault="0044751E">
      <w:pPr>
        <w:ind w:left="360"/>
      </w:pPr>
    </w:p>
    <w:p w:rsidR="0044751E" w:rsidRPr="00A561E1" w:rsidRDefault="0044751E">
      <w:pPr>
        <w:numPr>
          <w:ilvl w:val="0"/>
          <w:numId w:val="8"/>
        </w:numPr>
      </w:pPr>
      <w:r w:rsidRPr="00A561E1">
        <w:t>Rail Fleet Management Plan (RFMP) – NCTD’s RFMP has been found to be acceptable.</w:t>
      </w:r>
    </w:p>
    <w:p w:rsidR="0044751E" w:rsidRPr="00A561E1" w:rsidRDefault="0044751E">
      <w:pPr>
        <w:ind w:left="360"/>
      </w:pPr>
    </w:p>
    <w:p w:rsidR="0044751E" w:rsidRPr="00A561E1" w:rsidRDefault="0044751E">
      <w:pPr>
        <w:numPr>
          <w:ilvl w:val="0"/>
          <w:numId w:val="8"/>
        </w:numPr>
      </w:pPr>
      <w:r w:rsidRPr="00A561E1">
        <w:t xml:space="preserve">Bus Fleet Management Plan (BFMP) – NCTD’s BFMP, in combination with the Supplemental Information Document dated </w:t>
      </w:r>
      <w:smartTag w:uri="urn:schemas-microsoft-com:office:smarttags" w:element="date">
        <w:smartTagPr>
          <w:attr w:name="Year" w:val="2002"/>
          <w:attr w:name="Day" w:val="21"/>
          <w:attr w:name="Month" w:val="3"/>
        </w:smartTagPr>
        <w:r w:rsidRPr="00A561E1">
          <w:t>March 21, 2002</w:t>
        </w:r>
      </w:smartTag>
      <w:r w:rsidRPr="00A561E1">
        <w:t xml:space="preserve">, provides for a fully acceptable plan.  NCTD has agreed to combine these two documents into one complete BFMP in the next update, </w:t>
      </w:r>
      <w:r w:rsidR="00EA3F58" w:rsidRPr="00A561E1">
        <w:t>which will be submitted in advance of any bus service adjustments associated with the SPRINTER ROD.</w:t>
      </w:r>
    </w:p>
    <w:p w:rsidR="0044751E" w:rsidRPr="00A561E1" w:rsidRDefault="0044751E">
      <w:pPr>
        <w:ind w:left="360"/>
      </w:pPr>
    </w:p>
    <w:p w:rsidR="0044751E" w:rsidRPr="00A561E1" w:rsidRDefault="0044751E">
      <w:pPr>
        <w:numPr>
          <w:ilvl w:val="0"/>
          <w:numId w:val="8"/>
        </w:numPr>
      </w:pPr>
      <w:r w:rsidRPr="00A561E1">
        <w:t>Real Estate Acquisition and Management Plan (REAMP) – NCTD’s REAMP provides adequate internal direction for acquiring real property for the project.  The REAMP is fully acceptable and is being implemented.</w:t>
      </w:r>
    </w:p>
    <w:p w:rsidR="0044751E" w:rsidRPr="00A561E1" w:rsidRDefault="0044751E">
      <w:pPr>
        <w:ind w:left="360"/>
      </w:pPr>
    </w:p>
    <w:p w:rsidR="0044751E" w:rsidRPr="00A561E1" w:rsidRDefault="0044751E">
      <w:pPr>
        <w:numPr>
          <w:ilvl w:val="0"/>
          <w:numId w:val="8"/>
        </w:numPr>
      </w:pPr>
      <w:r w:rsidRPr="00A561E1">
        <w:t>Quality Management Plan (QPP) – NCTD’s QPP provides adequate internal direction to obtain quality in the design, procurement, construction, and testing and startup phases of this project.  The QPP is fully acceptable and is being implemented.</w:t>
      </w:r>
    </w:p>
    <w:p w:rsidR="0044751E" w:rsidRPr="00A561E1" w:rsidRDefault="0044751E">
      <w:pPr>
        <w:ind w:left="360"/>
      </w:pPr>
    </w:p>
    <w:p w:rsidR="0044751E" w:rsidRPr="00A561E1" w:rsidRDefault="0044751E">
      <w:pPr>
        <w:numPr>
          <w:ilvl w:val="0"/>
          <w:numId w:val="8"/>
        </w:numPr>
      </w:pPr>
      <w:r w:rsidRPr="00A561E1">
        <w:t xml:space="preserve">Baseline Cost Estimate – NCTD’s amended Total Project Budget is $484,138,940, which is consistent with the </w:t>
      </w:r>
      <w:r w:rsidR="00E24E5F">
        <w:t xml:space="preserve">2006 </w:t>
      </w:r>
      <w:r w:rsidR="00DC654F" w:rsidRPr="00A561E1">
        <w:t>Cost Risk Assessment</w:t>
      </w:r>
      <w:r w:rsidR="00E24E5F">
        <w:t>, as verified with the 2007 Cost Risk Assessment</w:t>
      </w:r>
      <w:r w:rsidRPr="00A561E1">
        <w:t>.</w:t>
      </w:r>
      <w:r w:rsidR="00786D2B" w:rsidRPr="00A561E1">
        <w:t xml:space="preserve">  The FFGA Amendment budget is adequate to support the SPRINTER Project.</w:t>
      </w:r>
    </w:p>
    <w:p w:rsidR="0044751E" w:rsidRPr="00A561E1" w:rsidRDefault="0044751E"/>
    <w:p w:rsidR="0044751E" w:rsidRPr="00A561E1" w:rsidRDefault="0044751E">
      <w:pPr>
        <w:numPr>
          <w:ilvl w:val="0"/>
          <w:numId w:val="8"/>
        </w:numPr>
      </w:pPr>
      <w:r w:rsidRPr="00A561E1">
        <w:t xml:space="preserve">Baseline Schedule – The Baseline Schedule highlights major milestones and the project’s path toward the amended ROD of </w:t>
      </w:r>
      <w:smartTag w:uri="urn:schemas-microsoft-com:office:smarttags" w:element="date">
        <w:smartTagPr>
          <w:attr w:name="Year" w:val="2008"/>
          <w:attr w:name="Day" w:val="1"/>
          <w:attr w:name="Month" w:val="7"/>
        </w:smartTagPr>
        <w:r w:rsidRPr="00A561E1">
          <w:t xml:space="preserve">July </w:t>
        </w:r>
        <w:r w:rsidR="00786D2B" w:rsidRPr="00A561E1">
          <w:t xml:space="preserve">1, </w:t>
        </w:r>
        <w:r w:rsidRPr="00A561E1">
          <w:t>2008</w:t>
        </w:r>
      </w:smartTag>
      <w:r w:rsidRPr="00A561E1">
        <w:t>, which is consistent with the PMOC’s schedule assessment as identified in Spot Report #9.</w:t>
      </w:r>
      <w:r w:rsidR="00786D2B" w:rsidRPr="00A561E1">
        <w:t xml:space="preserve">  The </w:t>
      </w:r>
      <w:r w:rsidR="00EF5ADE">
        <w:t xml:space="preserve">Amended </w:t>
      </w:r>
      <w:r w:rsidR="00786D2B" w:rsidRPr="00A561E1">
        <w:t>FFGA ROD can be readily achieved.</w:t>
      </w:r>
    </w:p>
    <w:p w:rsidR="0044751E" w:rsidRPr="00A561E1" w:rsidRDefault="0044751E"/>
    <w:p w:rsidR="0044751E" w:rsidRPr="00A561E1" w:rsidRDefault="0044751E">
      <w:pPr>
        <w:numPr>
          <w:ilvl w:val="0"/>
          <w:numId w:val="8"/>
        </w:numPr>
      </w:pPr>
      <w:r w:rsidRPr="00A561E1">
        <w:t xml:space="preserve">FFGA Attachments – The PMOC reviewed NCTD’s FFGA Amendment Attachments in accordance with FTA’s Circular C5200.1A Chapter III, dated </w:t>
      </w:r>
      <w:smartTag w:uri="urn:schemas-microsoft-com:office:smarttags" w:element="date">
        <w:smartTagPr>
          <w:attr w:name="Year" w:val="2002"/>
          <w:attr w:name="Day" w:val="5"/>
          <w:attr w:name="Month" w:val="12"/>
        </w:smartTagPr>
        <w:r w:rsidRPr="00A561E1">
          <w:t>December 5, 2002</w:t>
        </w:r>
      </w:smartTag>
      <w:r w:rsidRPr="00A561E1">
        <w:t>.  The PMOC concluded that the Attachments are consistent with the FTA guidance in defining the project scope and description, project baseline cost estimate by contract units, and the project schedule.</w:t>
      </w:r>
    </w:p>
    <w:p w:rsidR="0044751E" w:rsidRPr="00A561E1" w:rsidRDefault="0044751E"/>
    <w:p w:rsidR="00862947" w:rsidRPr="00A561E1" w:rsidRDefault="00763E82">
      <w:pPr>
        <w:sectPr w:rsidR="00862947" w:rsidRPr="00A561E1">
          <w:pgSz w:w="12240" w:h="15840" w:code="1"/>
          <w:pgMar w:top="1440" w:right="1440" w:bottom="1728" w:left="1440" w:header="720" w:footer="720" w:gutter="0"/>
          <w:cols w:space="720"/>
          <w:docGrid w:linePitch="360"/>
        </w:sectPr>
      </w:pPr>
      <w:r w:rsidRPr="00A561E1">
        <w:t>Based on these evaluations and findings, the PMOC recommends to FTA execution of the FFGA Amendment.</w:t>
      </w:r>
    </w:p>
    <w:p w:rsidR="00AD1C56" w:rsidRPr="00A561E1" w:rsidRDefault="00862947">
      <w:pPr>
        <w:rPr>
          <w:b/>
        </w:rPr>
      </w:pPr>
      <w:r w:rsidRPr="00A561E1">
        <w:rPr>
          <w:b/>
        </w:rPr>
        <w:t>APPENDI</w:t>
      </w:r>
      <w:r w:rsidR="00AD1C56" w:rsidRPr="00A561E1">
        <w:rPr>
          <w:b/>
        </w:rPr>
        <w:t>CES</w:t>
      </w:r>
    </w:p>
    <w:p w:rsidR="00AD1C56" w:rsidRPr="00A561E1" w:rsidRDefault="00AD1C56">
      <w:pPr>
        <w:rPr>
          <w:b/>
        </w:rPr>
      </w:pPr>
    </w:p>
    <w:p w:rsidR="0044751E" w:rsidRPr="00A561E1" w:rsidRDefault="00AD1C56">
      <w:pPr>
        <w:rPr>
          <w:b/>
        </w:rPr>
      </w:pPr>
      <w:r w:rsidRPr="00A561E1">
        <w:rPr>
          <w:b/>
        </w:rPr>
        <w:t>Appendix A</w:t>
      </w:r>
      <w:r w:rsidR="00753B00" w:rsidRPr="00A561E1">
        <w:rPr>
          <w:b/>
        </w:rPr>
        <w:t>:</w:t>
      </w:r>
      <w:r w:rsidRPr="00A561E1">
        <w:rPr>
          <w:b/>
        </w:rPr>
        <w:tab/>
      </w:r>
      <w:r w:rsidR="006F177E" w:rsidRPr="00A561E1">
        <w:rPr>
          <w:b/>
        </w:rPr>
        <w:t>Project Chronology</w:t>
      </w:r>
    </w:p>
    <w:p w:rsidR="00470E3C" w:rsidRPr="00A561E1" w:rsidRDefault="00470E3C"/>
    <w:p w:rsidR="00470E3C" w:rsidRPr="00A561E1" w:rsidRDefault="00470E3C" w:rsidP="00470E3C">
      <w:r w:rsidRPr="00A561E1">
        <w:t>Following is a chronology of project-related activities and milestones:</w:t>
      </w:r>
    </w:p>
    <w:p w:rsidR="00470E3C" w:rsidRPr="00A561E1" w:rsidRDefault="00470E3C" w:rsidP="00470E3C"/>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3"/>
          <w:attr w:name="Day" w:val="26"/>
          <w:attr w:name="Month" w:val="2"/>
        </w:smartTagPr>
        <w:r w:rsidRPr="00A561E1">
          <w:t>February 26, 2003</w:t>
        </w:r>
      </w:smartTag>
      <w:r w:rsidRPr="00A561E1">
        <w:t xml:space="preserve"> – Execution of an FFGA for the SPRINTER Project with a budget of $351.5M and a Revenue Operations Date (ROD) of </w:t>
      </w:r>
      <w:smartTag w:uri="urn:schemas-microsoft-com:office:smarttags" w:element="date">
        <w:smartTagPr>
          <w:attr w:name="Year" w:val="2005"/>
          <w:attr w:name="Day" w:val="31"/>
          <w:attr w:name="Month" w:val="12"/>
        </w:smartTagPr>
        <w:r w:rsidRPr="00A561E1">
          <w:t>December 31, 2005</w:t>
        </w:r>
      </w:smartTag>
      <w:r w:rsidRPr="00A561E1">
        <w:t>.</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3"/>
          <w:attr w:name="Day" w:val="18"/>
          <w:attr w:name="Month" w:val="11"/>
        </w:smartTagPr>
        <w:r w:rsidRPr="00A561E1">
          <w:t>November 18, 2003</w:t>
        </w:r>
      </w:smartTag>
      <w:r w:rsidRPr="00A561E1">
        <w:t xml:space="preserve"> – FTA requested that NCTD prepare a Project Recovery Plan following an indication that the FFGA budget was inadequate and a delay to initiating the project construction phase was inevitable.</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3"/>
          <w:attr w:name="Day" w:val="18"/>
          <w:attr w:name="Month" w:val="12"/>
        </w:smartTagPr>
        <w:r w:rsidRPr="00A561E1">
          <w:t>December 18, 2003</w:t>
        </w:r>
      </w:smartTag>
      <w:r w:rsidRPr="00A561E1">
        <w:t xml:space="preserve"> – The California Public Utilities Commission (CPUC) approved NCTD’s request for deviation from General Order 143-B, and Siemens was awarded the contract to provide 12 DMUs.</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4"/>
          <w:attr w:name="Day" w:val="19"/>
          <w:attr w:name="Month" w:val="1"/>
        </w:smartTagPr>
        <w:r w:rsidRPr="00A561E1">
          <w:t>January 19, 2004</w:t>
        </w:r>
      </w:smartTag>
      <w:r w:rsidRPr="00A561E1">
        <w:t xml:space="preserve"> – NCTD submitted a Project Recovery Plan Status Report.</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4"/>
          <w:attr w:name="Day" w:val="24"/>
          <w:attr w:name="Month" w:val="1"/>
        </w:smartTagPr>
        <w:r w:rsidRPr="00A561E1">
          <w:t>January 24, 2004</w:t>
        </w:r>
      </w:smartTag>
      <w:r w:rsidRPr="00A561E1">
        <w:t xml:space="preserve"> – The PMOC initiated the project Cost Risk Assessment process in accordance with Project Management Oversight Operating Guidance (PMOOG) No. 22.</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4"/>
          <w:attr w:name="Day" w:val="24"/>
          <w:attr w:name="Month" w:val="2"/>
        </w:smartTagPr>
        <w:r w:rsidRPr="00A561E1">
          <w:t>February 24, 2004</w:t>
        </w:r>
      </w:smartTag>
      <w:r w:rsidRPr="00A561E1">
        <w:t xml:space="preserve"> – The initial Cost Risk Assessment Report, which excluded PMOC Risk Mitigation recommendations, was submitted to FTA Region IX and NCTD.</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4"/>
          <w:attr w:name="Day" w:val="8"/>
          <w:attr w:name="Month" w:val="3"/>
        </w:smartTagPr>
        <w:r w:rsidRPr="00A561E1">
          <w:t>March 8, 2004</w:t>
        </w:r>
      </w:smartTag>
      <w:r w:rsidRPr="00A561E1">
        <w:t xml:space="preserve"> – A Risk Mitigation Workshop was held in conjunction with NCTD to address Top Ten cost and schedule risks and determine appropriate mitigation strategies.</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4"/>
          <w:attr w:name="Day" w:val="29"/>
          <w:attr w:name="Month" w:val="3"/>
        </w:smartTagPr>
        <w:r w:rsidRPr="00A561E1">
          <w:t>March 29, 2004</w:t>
        </w:r>
      </w:smartTag>
      <w:r w:rsidRPr="00A561E1">
        <w:t xml:space="preserve"> – The Cost Risk Assessment Report was updated to include the PMOC Risk Mitigation recommendations resulting from the Risk Mitigation Workshop.</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4"/>
          <w:attr w:name="Day" w:val="15"/>
          <w:attr w:name="Month" w:val="6"/>
        </w:smartTagPr>
        <w:r w:rsidRPr="00A561E1">
          <w:t>June 15, 2004</w:t>
        </w:r>
      </w:smartTag>
      <w:r w:rsidRPr="00A561E1">
        <w:t xml:space="preserve"> – The PMOC submitted an updated Cost Risk Assessment Report to FTA that provided a statistical analysis of the cost probability level of confidence based upon the initial NCTD Recovery Plan.</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4"/>
          <w:attr w:name="Day" w:val="16"/>
          <w:attr w:name="Month" w:val="8"/>
        </w:smartTagPr>
        <w:r w:rsidRPr="00A561E1">
          <w:t>August 16, 2004</w:t>
        </w:r>
      </w:smartTag>
      <w:r w:rsidRPr="00A561E1">
        <w:t xml:space="preserve"> – NCTD submitted an updated Recovery Plan to FTA that included the following components:</w:t>
      </w:r>
    </w:p>
    <w:p w:rsidR="00470E3C" w:rsidRPr="00A561E1" w:rsidRDefault="00470E3C" w:rsidP="00470E3C">
      <w:pPr>
        <w:numPr>
          <w:ilvl w:val="0"/>
          <w:numId w:val="9"/>
        </w:numPr>
      </w:pPr>
      <w:r w:rsidRPr="00A561E1">
        <w:t>Risk Mitigation and Management Plan</w:t>
      </w:r>
    </w:p>
    <w:p w:rsidR="00470E3C" w:rsidRPr="00A561E1" w:rsidRDefault="00470E3C" w:rsidP="00470E3C">
      <w:pPr>
        <w:numPr>
          <w:ilvl w:val="0"/>
          <w:numId w:val="9"/>
        </w:numPr>
        <w:rPr>
          <w:rFonts w:eastAsia="Batang"/>
        </w:rPr>
      </w:pPr>
      <w:r w:rsidRPr="00A561E1">
        <w:t>Updated Financial Plan</w:t>
      </w:r>
    </w:p>
    <w:p w:rsidR="00470E3C" w:rsidRPr="00A561E1" w:rsidRDefault="00470E3C" w:rsidP="00470E3C">
      <w:pPr>
        <w:numPr>
          <w:ilvl w:val="0"/>
          <w:numId w:val="9"/>
        </w:numPr>
        <w:rPr>
          <w:rFonts w:eastAsia="Batang"/>
        </w:rPr>
      </w:pPr>
      <w:r w:rsidRPr="00A561E1">
        <w:t>Updated Cash flow schedule</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4"/>
          <w:attr w:name="Day" w:val="25"/>
          <w:attr w:name="Month" w:val="8"/>
        </w:smartTagPr>
        <w:r w:rsidRPr="00A561E1">
          <w:t>August 25, 2004</w:t>
        </w:r>
      </w:smartTag>
      <w:r w:rsidRPr="00A561E1">
        <w:t xml:space="preserve"> – The PMOC prepared DRAFT Spot Report </w:t>
      </w:r>
      <w:smartTag w:uri="urn:schemas-microsoft-com:office:smarttags" w:element="PersonName">
        <w:r w:rsidRPr="00A561E1">
          <w:t>#</w:t>
        </w:r>
      </w:smartTag>
      <w:r w:rsidRPr="00A561E1">
        <w:t>7 that evaluated the NCTD Recovery Plan.</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4"/>
          <w:attr w:name="Day" w:val="8"/>
          <w:attr w:name="Month" w:val="9"/>
        </w:smartTagPr>
        <w:r w:rsidRPr="00A561E1">
          <w:t>September 8, 2004</w:t>
        </w:r>
      </w:smartTag>
      <w:r w:rsidRPr="00A561E1">
        <w:t xml:space="preserve"> – FTA met with NCTD to discuss potential cost reduction and containment measures considered by NCTD.   FTA sent a letter to NCTD that stated that the NCTD must develop a Recovery Plan based on the Base Cost Estimate (BCE) established in the FFGA.  NCTD met with FTA at their headquarters in late September 2004 to discuss the DRAFT Recovery Plan strategies and develop a recovery scenario.</w:t>
      </w:r>
    </w:p>
    <w:p w:rsidR="00470E3C" w:rsidRPr="00A561E1" w:rsidRDefault="00470E3C" w:rsidP="00470E3C">
      <w:pPr>
        <w:numPr>
          <w:ilvl w:val="0"/>
          <w:numId w:val="2"/>
        </w:numPr>
        <w:tabs>
          <w:tab w:val="clear" w:pos="360"/>
          <w:tab w:val="num" w:pos="720"/>
        </w:tabs>
        <w:ind w:left="720"/>
      </w:pPr>
      <w:r w:rsidRPr="00A561E1">
        <w:t>December 14 and 22, 2004 – NCTD submitted an updated Recovery Strategies Report.</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5"/>
          <w:attr w:name="Day" w:val="5"/>
          <w:attr w:name="Month" w:val="1"/>
        </w:smartTagPr>
        <w:r w:rsidRPr="00A561E1">
          <w:t>January 5, 2005</w:t>
        </w:r>
      </w:smartTag>
      <w:r w:rsidRPr="00A561E1">
        <w:t xml:space="preserve"> – The PMOC prepared a Job Memorandum that summarized findings from a review of the updated Recovery Strategies Report.</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5"/>
          <w:attr w:name="Day" w:val="19"/>
          <w:attr w:name="Month" w:val="1"/>
        </w:smartTagPr>
        <w:r w:rsidRPr="00A561E1">
          <w:t>January 19, 2005</w:t>
        </w:r>
      </w:smartTag>
      <w:r w:rsidRPr="00A561E1">
        <w:t xml:space="preserve"> – FTA and NCTD conducted a teleconference to discuss the proposed recovery strategies.  The PMOC was subsequently tasked with verifying NCTD documentation supporting proclaimed cost savings in the Cost Recovery Plan Strategies.  NCTD began updating the Recovery Plan in January 2005.</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5"/>
          <w:attr w:name="Day" w:val="8"/>
          <w:attr w:name="Month" w:val="2"/>
        </w:smartTagPr>
        <w:r w:rsidRPr="00A561E1">
          <w:t>February 8-10, 2005</w:t>
        </w:r>
      </w:smartTag>
      <w:r w:rsidRPr="00A561E1">
        <w:t xml:space="preserve"> – The PMOC performed a cost validation review.  NCTD expanded the strategies to include supporting documentation as to the basis of the estimate and methodology for achieving the cost saving/reduction.  This documentation was added to the Recovery Plan for submittal to FTA.</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5"/>
          <w:attr w:name="Day" w:val="22"/>
          <w:attr w:name="Month" w:val="2"/>
        </w:smartTagPr>
        <w:r w:rsidRPr="00A561E1">
          <w:t>February 22, 2005</w:t>
        </w:r>
      </w:smartTag>
      <w:r w:rsidRPr="00A561E1">
        <w:t xml:space="preserve"> – NCTD provided Revision 2 of the DRAFT Recovery Plan to FTA and the PMOC.</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5"/>
          <w:attr w:name="Day" w:val="4"/>
          <w:attr w:name="Month" w:val="3"/>
        </w:smartTagPr>
        <w:r w:rsidRPr="00A561E1">
          <w:t>March 4, 2005</w:t>
        </w:r>
      </w:smartTag>
      <w:r w:rsidRPr="00A561E1">
        <w:t xml:space="preserve"> – NCTD provided the Supporting Documentation for the Recovery Plan Strategies.</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5"/>
          <w:attr w:name="Day" w:val="11"/>
          <w:attr w:name="Month" w:val="3"/>
        </w:smartTagPr>
        <w:r w:rsidRPr="00A561E1">
          <w:t>March 11, 2005</w:t>
        </w:r>
      </w:smartTag>
      <w:r w:rsidRPr="00A561E1">
        <w:t xml:space="preserve"> – The PMOC submitted DRAFT Spot Report </w:t>
      </w:r>
      <w:smartTag w:uri="urn:schemas-microsoft-com:office:smarttags" w:element="PersonName">
        <w:r w:rsidRPr="00A561E1">
          <w:t>#</w:t>
        </w:r>
      </w:smartTag>
      <w:r w:rsidRPr="00A561E1">
        <w:t xml:space="preserve">8 that provided an assessment of the NCTD Recovery Plan.  After receiving FTA comments, the report was updated and resubmitted to NCTD and FTA on </w:t>
      </w:r>
      <w:smartTag w:uri="urn:schemas-microsoft-com:office:smarttags" w:element="date">
        <w:smartTagPr>
          <w:attr w:name="Year" w:val="2005"/>
          <w:attr w:name="Day" w:val="24"/>
          <w:attr w:name="Month" w:val="3"/>
        </w:smartTagPr>
        <w:r w:rsidRPr="00A561E1">
          <w:t>March 24, 2005</w:t>
        </w:r>
      </w:smartTag>
      <w:r w:rsidRPr="00A561E1">
        <w:t>.  The PMOC Spot Report addressed the supportability of NCTD cost reduction proposals and the technical acceptability of cost reduction proposals regarding standard accepted practice.  NCTD revised their February 2005 Recovery Plan to eliminate disfavored cost reduction proposals and modified the plan to include only proposals found technically acceptable, that were supportable by cost data and used a sufficient basis of estimate, reasonable to the extent of not negatively impacting project function and quality.  NCTD also developed specific mitigation measuring and tracking techniques to provide monthly status measurement and reporting on the success of the mitigation techniques, and the effectiveness of the cost recovery strategies proposed in the Recovery Plan.</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5"/>
          <w:attr w:name="Day" w:val="24"/>
          <w:attr w:name="Month" w:val="4"/>
        </w:smartTagPr>
        <w:r w:rsidRPr="00A561E1">
          <w:t>April 24, 2005</w:t>
        </w:r>
      </w:smartTag>
      <w:r w:rsidRPr="00A561E1">
        <w:t xml:space="preserve"> – The PMOC submitted Spot Report </w:t>
      </w:r>
      <w:smartTag w:uri="urn:schemas-microsoft-com:office:smarttags" w:element="PersonName">
        <w:r w:rsidRPr="00A561E1">
          <w:t>#</w:t>
        </w:r>
      </w:smartTag>
      <w:r w:rsidRPr="00A561E1">
        <w:t>8 (Final) to FTA.  The PMOC recommended that FTA accept and approve the April 2005 NCTD Recovery Plan as the strategy and mechanism that will be utilized by NCTD for achieving project cost within the FFGA core accountability.</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5"/>
          <w:attr w:name="Day" w:val="30"/>
          <w:attr w:name="Month" w:val="6"/>
        </w:smartTagPr>
        <w:r w:rsidRPr="00A561E1">
          <w:t>June 30, 2005</w:t>
        </w:r>
      </w:smartTag>
      <w:r w:rsidRPr="00A561E1">
        <w:t xml:space="preserve"> – FTA notified NCTD that the Recovery Plan had been accepted with a budget of $365.6M and a ROD of </w:t>
      </w:r>
      <w:smartTag w:uri="urn:schemas-microsoft-com:office:smarttags" w:element="date">
        <w:smartTagPr>
          <w:attr w:name="Year" w:val="2007"/>
          <w:attr w:name="Day" w:val="31"/>
          <w:attr w:name="Month" w:val="12"/>
        </w:smartTagPr>
        <w:r w:rsidRPr="00A561E1">
          <w:t>December 31, 2007</w:t>
        </w:r>
      </w:smartTag>
      <w:r w:rsidRPr="00A561E1">
        <w:t>.  The FFGA Project Recovery Plan Budget took into account successful implementation of all accepted recovery strategies.</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5"/>
          <w:attr w:name="Day" w:val="29"/>
          <w:attr w:name="Month" w:val="8"/>
        </w:smartTagPr>
        <w:r w:rsidRPr="00A561E1">
          <w:t>August 29, 2005</w:t>
        </w:r>
      </w:smartTag>
      <w:r w:rsidRPr="00A561E1">
        <w:t xml:space="preserve"> – Hurricane Katrina hit the </w:t>
      </w:r>
      <w:smartTag w:uri="urn:schemas-microsoft-com:office:smarttags" w:element="place">
        <w:smartTag w:uri="urn:schemas-microsoft-com:office:smarttags" w:element="PlaceName">
          <w:r w:rsidRPr="00A561E1">
            <w:t>United States</w:t>
          </w:r>
        </w:smartTag>
        <w:r w:rsidRPr="00A561E1">
          <w:t xml:space="preserve"> </w:t>
        </w:r>
        <w:smartTag w:uri="urn:schemas-microsoft-com:office:smarttags" w:element="PlaceType">
          <w:r w:rsidRPr="00A561E1">
            <w:t>Gulf</w:t>
          </w:r>
        </w:smartTag>
        <w:r w:rsidRPr="00A561E1">
          <w:t xml:space="preserve"> </w:t>
        </w:r>
        <w:smartTag w:uri="urn:schemas-microsoft-com:office:smarttags" w:element="PlaceType">
          <w:r w:rsidRPr="00A561E1">
            <w:t>Coast</w:t>
          </w:r>
        </w:smartTag>
      </w:smartTag>
      <w:r w:rsidRPr="00A561E1">
        <w:t>.</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5"/>
          <w:attr w:name="Day" w:val="15"/>
          <w:attr w:name="Month" w:val="9"/>
        </w:smartTagPr>
        <w:r w:rsidRPr="00A561E1">
          <w:t>September 15, 2005</w:t>
        </w:r>
      </w:smartTag>
      <w:r w:rsidRPr="00A561E1">
        <w:t xml:space="preserve"> – The revised budget was formally adopted by the NCTD Board.</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5"/>
          <w:attr w:name="Day" w:val="30"/>
          <w:attr w:name="Month" w:val="9"/>
        </w:smartTagPr>
        <w:r w:rsidRPr="00A561E1">
          <w:t>September 30, 2005</w:t>
        </w:r>
      </w:smartTag>
      <w:r w:rsidRPr="00A561E1">
        <w:t xml:space="preserve"> – Notice to Proceed on the Vehicle Maintenance Facility (VMF) contract was issued with a contract value approximately $7M greater than the Recovery Plan Budget.  This resulted in a reduction of the unallocated contingency from $10.2M to $3.2M.  Subsequent to the VMF contract award, the PMOC requested that NCTD update their Estimate at Completion (EAC).</w:t>
      </w:r>
    </w:p>
    <w:p w:rsidR="00470E3C" w:rsidRPr="00A561E1" w:rsidRDefault="00470E3C" w:rsidP="00470E3C">
      <w:pPr>
        <w:numPr>
          <w:ilvl w:val="0"/>
          <w:numId w:val="2"/>
        </w:numPr>
        <w:tabs>
          <w:tab w:val="clear" w:pos="360"/>
          <w:tab w:val="num" w:pos="720"/>
        </w:tabs>
        <w:ind w:left="720"/>
      </w:pPr>
      <w:r w:rsidRPr="00A561E1">
        <w:t>March 2006 – NCTD acknowledged that the FFGA Project Recovery Plan budget of $365.6M was at risk.</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19"/>
          <w:attr w:name="Month" w:val="4"/>
        </w:smartTagPr>
        <w:r w:rsidRPr="00A561E1">
          <w:t>April 19, 2006</w:t>
        </w:r>
      </w:smartTag>
      <w:r w:rsidRPr="00A561E1">
        <w:t xml:space="preserve"> – The PMOC and NCTD held a budget workshop.  The purpose of the workshop was to determine the validity and completeness of NCTD’s updated EAC and to analyze the remaining risks to the project.  It was determined that the FFGA Project Recovery Plan Budget of $365.6M would likely be exceeded.</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10"/>
          <w:attr w:name="Month" w:val="5"/>
        </w:smartTagPr>
        <w:r w:rsidRPr="00A561E1">
          <w:t>May 10-11, 2006</w:t>
        </w:r>
      </w:smartTag>
      <w:r w:rsidRPr="00A561E1">
        <w:t xml:space="preserve"> – NCTD submitted a DRAFT Update: Cost-to-Complete Report that provided an explanation for any identified increases and presented a range of costs above the current budget for line items.</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6"/>
          <w:attr w:name="Month" w:val="6"/>
        </w:smartTagPr>
        <w:r w:rsidRPr="00A561E1">
          <w:t>June 6-7, 2006</w:t>
        </w:r>
      </w:smartTag>
      <w:r w:rsidRPr="00A561E1">
        <w:t xml:space="preserve"> – A follow-up workshop was held, at which time the PMOC reviewed all supporting documentation.</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Month" w:val="7"/>
          <w:attr w:name="Day" w:val="3"/>
          <w:attr w:name="Year" w:val="2006"/>
        </w:smartTagPr>
        <w:r w:rsidRPr="00A561E1">
          <w:t>July 3, 2006</w:t>
        </w:r>
      </w:smartTag>
      <w:r w:rsidRPr="00A561E1">
        <w:t xml:space="preserve"> – The PMOC submitted DRAFT Spot Report </w:t>
      </w:r>
      <w:smartTag w:uri="urn:schemas-microsoft-com:office:smarttags" w:element="PersonName">
        <w:r w:rsidRPr="00A561E1">
          <w:t>#</w:t>
        </w:r>
      </w:smartTag>
      <w:r w:rsidRPr="00A561E1">
        <w:t xml:space="preserve">9, assessing NCTD’s updated budget and schedule and updating the </w:t>
      </w:r>
      <w:r w:rsidR="00E24E5F">
        <w:t xml:space="preserve">2006 </w:t>
      </w:r>
      <w:r w:rsidRPr="00A561E1">
        <w:t>Cost Risk Assessment.</w:t>
      </w:r>
    </w:p>
    <w:p w:rsidR="00470E3C" w:rsidRPr="00A561E1" w:rsidRDefault="00470E3C" w:rsidP="00470E3C">
      <w:pPr>
        <w:numPr>
          <w:ilvl w:val="0"/>
          <w:numId w:val="2"/>
        </w:numPr>
        <w:tabs>
          <w:tab w:val="clear" w:pos="360"/>
          <w:tab w:val="num" w:pos="720"/>
        </w:tabs>
        <w:ind w:left="720"/>
      </w:pPr>
      <w:r w:rsidRPr="00A561E1">
        <w:t>Ju</w:t>
      </w:r>
      <w:r w:rsidR="00E24E5F">
        <w:t>ly 24-25, 200</w:t>
      </w:r>
      <w:r w:rsidR="00755EC2">
        <w:t>6</w:t>
      </w:r>
      <w:r w:rsidRPr="00A561E1">
        <w:t xml:space="preserve"> – A workshop that included the FTA, NCTD, San Diego Association of Governments (SANDAG), and the PMOC was held to discuss DRAFT Spot Report </w:t>
      </w:r>
      <w:smartTag w:uri="urn:schemas-microsoft-com:office:smarttags" w:element="PersonName">
        <w:r w:rsidRPr="00A561E1">
          <w:t>#</w:t>
        </w:r>
      </w:smartTag>
      <w:r w:rsidRPr="00A561E1">
        <w:t>9 and NCTD’s Amended Recovery Plan (ARP).</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10"/>
          <w:attr w:name="Month" w:val="8"/>
        </w:smartTagPr>
        <w:r w:rsidRPr="00A561E1">
          <w:t>August 10, 2006</w:t>
        </w:r>
      </w:smartTag>
      <w:r w:rsidRPr="00A561E1">
        <w:t xml:space="preserve"> – The PMOC submitted DRAFT REVISION 1 of Spot Report </w:t>
      </w:r>
      <w:smartTag w:uri="urn:schemas-microsoft-com:office:smarttags" w:element="PersonName">
        <w:r w:rsidRPr="00A561E1">
          <w:t>#</w:t>
        </w:r>
      </w:smartTag>
      <w:r w:rsidRPr="00A561E1">
        <w:t>9.</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15"/>
          <w:attr w:name="Month" w:val="8"/>
        </w:smartTagPr>
        <w:r w:rsidRPr="00A561E1">
          <w:t>August 15, 2006</w:t>
        </w:r>
      </w:smartTag>
      <w:r w:rsidRPr="00A561E1">
        <w:t xml:space="preserve"> – NCTD submitted a DRAFT ARP.</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31"/>
          <w:attr w:name="Month" w:val="8"/>
        </w:smartTagPr>
        <w:r w:rsidRPr="00A561E1">
          <w:t>August 31, 2006</w:t>
        </w:r>
      </w:smartTag>
      <w:r w:rsidRPr="00A561E1">
        <w:t xml:space="preserve"> – The PMOC transmitted review comments to NCTD regarding the DRAFT ARP.</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15"/>
          <w:attr w:name="Month" w:val="9"/>
        </w:smartTagPr>
        <w:r w:rsidRPr="00A561E1">
          <w:t>September 15, 2006</w:t>
        </w:r>
      </w:smartTag>
      <w:r w:rsidRPr="00A561E1">
        <w:t xml:space="preserve"> – NCTD submitted the final ARP.</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18"/>
          <w:attr w:name="Month" w:val="10"/>
        </w:smartTagPr>
        <w:r w:rsidRPr="00A561E1">
          <w:t>October 18, 2006</w:t>
        </w:r>
      </w:smartTag>
      <w:r w:rsidRPr="00A561E1">
        <w:t xml:space="preserve"> – The PMOC submitted the Spot Report </w:t>
      </w:r>
      <w:smartTag w:uri="urn:schemas-microsoft-com:office:smarttags" w:element="PersonName">
        <w:r w:rsidRPr="00A561E1">
          <w:t>#</w:t>
        </w:r>
      </w:smartTag>
      <w:r w:rsidRPr="00A561E1">
        <w:t>9 recommending FTA approval of the ARP.</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7"/>
          <w:attr w:name="Month" w:val="11"/>
        </w:smartTagPr>
        <w:r w:rsidRPr="00A561E1">
          <w:t>November 7, 2006</w:t>
        </w:r>
      </w:smartTag>
      <w:r w:rsidRPr="00A561E1">
        <w:t xml:space="preserve"> – </w:t>
      </w:r>
      <w:smartTag w:uri="urn:schemas-microsoft-com:office:smarttags" w:element="place">
        <w:smartTag w:uri="urn:schemas-microsoft-com:office:smarttags" w:element="State">
          <w:r w:rsidRPr="00A561E1">
            <w:t>California</w:t>
          </w:r>
        </w:smartTag>
      </w:smartTag>
      <w:r w:rsidRPr="00A561E1">
        <w:t xml:space="preserve"> voters approved the transportation bond measure, Proposition 1B.  NCTD will apply for Proposition 1B funds in January 2007.</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11"/>
          <w:attr w:name="Month" w:val="12"/>
        </w:smartTagPr>
        <w:r w:rsidRPr="00A561E1">
          <w:t>December 11, 2006</w:t>
        </w:r>
      </w:smartTag>
      <w:r w:rsidRPr="00A561E1">
        <w:t xml:space="preserve"> – FTA provided NCTD with formal approval of the ARP.  The FTA also directed NCTD to begin reporting all cost information against the Total Project Budget of $484.1M.</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21"/>
          <w:attr w:name="Month" w:val="12"/>
        </w:smartTagPr>
        <w:r w:rsidRPr="00A561E1">
          <w:t>December 21, 2006</w:t>
        </w:r>
      </w:smartTag>
      <w:r w:rsidRPr="00A561E1">
        <w:t xml:space="preserve"> – NCTD Board of Directors formally adopted a Total Project Budget that correlated with the budget identified within the ARP.  </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6"/>
          <w:attr w:name="Day" w:val="15"/>
          <w:attr w:name="Month" w:val="12"/>
        </w:smartTagPr>
        <w:r w:rsidRPr="00A561E1">
          <w:t>December 15, 2006</w:t>
        </w:r>
      </w:smartTag>
      <w:r w:rsidRPr="00A561E1">
        <w:t xml:space="preserve"> – SANDAG Board approved NCTD’s Financial Plan. </w:t>
      </w:r>
    </w:p>
    <w:p w:rsidR="00470E3C" w:rsidRPr="00A561E1" w:rsidRDefault="00470E3C" w:rsidP="00470E3C">
      <w:pPr>
        <w:numPr>
          <w:ilvl w:val="0"/>
          <w:numId w:val="2"/>
        </w:numPr>
        <w:tabs>
          <w:tab w:val="clear" w:pos="360"/>
          <w:tab w:val="num" w:pos="720"/>
        </w:tabs>
        <w:ind w:left="720"/>
      </w:pPr>
      <w:r w:rsidRPr="00A561E1">
        <w:t>January 2007 – NCTD prepared DRAFT FFGA Amendments.   FTA updated its review of the Financial Plan.</w:t>
      </w:r>
    </w:p>
    <w:p w:rsidR="00470E3C" w:rsidRPr="00A561E1" w:rsidRDefault="00470E3C" w:rsidP="00470E3C">
      <w:pPr>
        <w:numPr>
          <w:ilvl w:val="0"/>
          <w:numId w:val="2"/>
        </w:numPr>
        <w:tabs>
          <w:tab w:val="clear" w:pos="360"/>
          <w:tab w:val="num" w:pos="720"/>
        </w:tabs>
        <w:ind w:left="720"/>
      </w:pPr>
      <w:r w:rsidRPr="00A561E1">
        <w:t>April 2007 – DMU Brake testing was successfully completed to confirm the vehicles meet the requirements of CPUC Resolution ST-68.</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7"/>
          <w:attr w:name="Day" w:val="1"/>
          <w:attr w:name="Month" w:val="8"/>
        </w:smartTagPr>
        <w:r w:rsidRPr="00A561E1">
          <w:t>August 1, 2007</w:t>
        </w:r>
      </w:smartTag>
      <w:r w:rsidRPr="00A561E1">
        <w:t xml:space="preserve"> – An EAC workshop was held that included NCTD, FTA, SANDAG, and the PMOC.</w:t>
      </w:r>
    </w:p>
    <w:p w:rsidR="00470E3C" w:rsidRPr="00A561E1" w:rsidRDefault="00470E3C" w:rsidP="00470E3C">
      <w:pPr>
        <w:numPr>
          <w:ilvl w:val="0"/>
          <w:numId w:val="2"/>
        </w:numPr>
        <w:tabs>
          <w:tab w:val="clear" w:pos="360"/>
          <w:tab w:val="num" w:pos="720"/>
        </w:tabs>
        <w:ind w:left="720"/>
      </w:pPr>
      <w:smartTag w:uri="urn:schemas-microsoft-com:office:smarttags" w:element="date">
        <w:smartTagPr>
          <w:attr w:name="Year" w:val="2007"/>
          <w:attr w:name="Day" w:val="1"/>
          <w:attr w:name="Month" w:val="10"/>
        </w:smartTagPr>
        <w:r w:rsidRPr="00A561E1">
          <w:t>October 1, 2007</w:t>
        </w:r>
      </w:smartTag>
      <w:r w:rsidRPr="00A561E1">
        <w:t xml:space="preserve"> – A second EAC workshop was held that included NCTD, FTA, SANDAG, and the PMOC.</w:t>
      </w:r>
    </w:p>
    <w:p w:rsidR="00470E3C" w:rsidRPr="00032D5D" w:rsidRDefault="00470E3C"/>
    <w:sectPr w:rsidR="00470E3C" w:rsidRPr="00032D5D" w:rsidSect="000D1540">
      <w:footerReference w:type="default" r:id="rId23"/>
      <w:pgSz w:w="12240" w:h="15840" w:code="1"/>
      <w:pgMar w:top="1440" w:right="1440" w:bottom="1728"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A2E" w:rsidRDefault="006D0A2E">
      <w:r>
        <w:separator/>
      </w:r>
    </w:p>
  </w:endnote>
  <w:endnote w:type="continuationSeparator" w:id="0">
    <w:p w:rsidR="006D0A2E" w:rsidRDefault="006D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 Ionic">
    <w:altName w:val="M Ionic"/>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F1280A">
    <w:pPr>
      <w:framePr w:wrap="around" w:vAnchor="text" w:hAnchor="margin" w:xAlign="right" w:y="1"/>
      <w:rPr>
        <w:rStyle w:val="PageNumber"/>
        <w:sz w:val="20"/>
      </w:rPr>
    </w:pPr>
    <w:r>
      <w:rPr>
        <w:rStyle w:val="PageNumber"/>
      </w:rPr>
      <w:fldChar w:fldCharType="begin"/>
    </w:r>
    <w:r>
      <w:rPr>
        <w:rStyle w:val="PageNumber"/>
      </w:rPr>
      <w:instrText xml:space="preserve"> PAGE </w:instrText>
    </w:r>
    <w:r>
      <w:rPr>
        <w:rStyle w:val="PageNumber"/>
      </w:rPr>
      <w:fldChar w:fldCharType="separate"/>
    </w:r>
    <w:r w:rsidR="007F6397">
      <w:rPr>
        <w:rStyle w:val="PageNumber"/>
        <w:noProof/>
      </w:rPr>
      <w:t>iii</w:t>
    </w:r>
    <w:r>
      <w:rPr>
        <w:rStyle w:val="PageNumber"/>
      </w:rPr>
      <w:fldChar w:fldCharType="end"/>
    </w:r>
  </w:p>
  <w:p w:rsidR="00F1280A" w:rsidRDefault="00F1280A" w:rsidP="00402B10">
    <w:pPr>
      <w:rPr>
        <w:sz w:val="18"/>
        <w:szCs w:val="18"/>
      </w:rPr>
    </w:pPr>
    <w:smartTag w:uri="urn:schemas-microsoft-com:office:smarttags" w:element="place">
      <w:smartTag w:uri="urn:schemas-microsoft-com:office:smarttags" w:element="City">
        <w:r>
          <w:rPr>
            <w:sz w:val="18"/>
            <w:szCs w:val="18"/>
          </w:rPr>
          <w:t>San Diego</w:t>
        </w:r>
      </w:smartTag>
    </w:smartTag>
    <w:r>
      <w:rPr>
        <w:sz w:val="18"/>
        <w:szCs w:val="18"/>
      </w:rPr>
      <w:t xml:space="preserve"> – NCTD</w:t>
    </w:r>
  </w:p>
  <w:p w:rsidR="00F1280A" w:rsidRDefault="00F1280A" w:rsidP="00402B10">
    <w:pPr>
      <w:rPr>
        <w:sz w:val="18"/>
        <w:szCs w:val="18"/>
      </w:rPr>
    </w:pPr>
    <w:r>
      <w:rPr>
        <w:sz w:val="18"/>
        <w:szCs w:val="18"/>
      </w:rPr>
      <w:t>Spot Report #11</w:t>
    </w:r>
  </w:p>
  <w:p w:rsidR="00F1280A" w:rsidRDefault="00F1280A" w:rsidP="00402B10">
    <w:pPr>
      <w:rPr>
        <w:sz w:val="18"/>
        <w:szCs w:val="18"/>
      </w:rPr>
    </w:pPr>
    <w:smartTag w:uri="urn:schemas-microsoft-com:office:smarttags" w:element="date">
      <w:smartTagPr>
        <w:attr w:name="Month" w:val="12"/>
        <w:attr w:name="Day" w:val="28"/>
        <w:attr w:name="Year" w:val="2007"/>
      </w:smartTagPr>
      <w:r>
        <w:rPr>
          <w:sz w:val="18"/>
          <w:szCs w:val="18"/>
        </w:rPr>
        <w:t>December 28, 2007</w:t>
      </w:r>
    </w:smartTag>
    <w:r>
      <w:rPr>
        <w:sz w:val="18"/>
        <w:szCs w:val="18"/>
      </w:rPr>
      <w:t xml:space="preserve"> (FINAL)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F1280A">
    <w:pPr>
      <w:framePr w:wrap="around" w:vAnchor="text" w:hAnchor="margin" w:xAlign="right" w:y="1"/>
      <w:rPr>
        <w:rStyle w:val="PageNumber"/>
        <w:sz w:val="20"/>
      </w:rPr>
    </w:pPr>
    <w:r>
      <w:rPr>
        <w:rStyle w:val="PageNumber"/>
      </w:rPr>
      <w:fldChar w:fldCharType="begin"/>
    </w:r>
    <w:r>
      <w:rPr>
        <w:rStyle w:val="PageNumber"/>
      </w:rPr>
      <w:instrText xml:space="preserve"> PAGE </w:instrText>
    </w:r>
    <w:r>
      <w:rPr>
        <w:rStyle w:val="PageNumber"/>
      </w:rPr>
      <w:fldChar w:fldCharType="separate"/>
    </w:r>
    <w:r w:rsidR="007F6397">
      <w:rPr>
        <w:rStyle w:val="PageNumber"/>
        <w:noProof/>
      </w:rPr>
      <w:t>i</w:t>
    </w:r>
    <w:r>
      <w:rPr>
        <w:rStyle w:val="PageNumber"/>
      </w:rPr>
      <w:fldChar w:fldCharType="end"/>
    </w:r>
  </w:p>
  <w:p w:rsidR="00F1280A" w:rsidRDefault="00F1280A">
    <w:pPr>
      <w:rPr>
        <w:sz w:val="18"/>
        <w:szCs w:val="18"/>
      </w:rPr>
    </w:pPr>
    <w:smartTag w:uri="urn:schemas-microsoft-com:office:smarttags" w:element="place">
      <w:smartTag w:uri="urn:schemas-microsoft-com:office:smarttags" w:element="City">
        <w:r>
          <w:rPr>
            <w:sz w:val="18"/>
            <w:szCs w:val="18"/>
          </w:rPr>
          <w:t>San Diego</w:t>
        </w:r>
      </w:smartTag>
    </w:smartTag>
    <w:r>
      <w:rPr>
        <w:sz w:val="18"/>
        <w:szCs w:val="18"/>
      </w:rPr>
      <w:t xml:space="preserve"> – NCTD</w:t>
    </w:r>
  </w:p>
  <w:p w:rsidR="00F1280A" w:rsidRDefault="00F1280A">
    <w:pPr>
      <w:rPr>
        <w:sz w:val="18"/>
        <w:szCs w:val="18"/>
      </w:rPr>
    </w:pPr>
    <w:r>
      <w:rPr>
        <w:sz w:val="18"/>
        <w:szCs w:val="18"/>
      </w:rPr>
      <w:t>Spot Report #11</w:t>
    </w:r>
  </w:p>
  <w:p w:rsidR="00F1280A" w:rsidRDefault="00F1280A">
    <w:pPr>
      <w:rPr>
        <w:sz w:val="18"/>
        <w:szCs w:val="18"/>
      </w:rPr>
    </w:pPr>
    <w:smartTag w:uri="urn:schemas-microsoft-com:office:smarttags" w:element="date">
      <w:smartTagPr>
        <w:attr w:name="Year" w:val="2007"/>
        <w:attr w:name="Day" w:val="28"/>
        <w:attr w:name="Month" w:val="12"/>
      </w:smartTagPr>
      <w:r>
        <w:rPr>
          <w:sz w:val="18"/>
          <w:szCs w:val="18"/>
        </w:rPr>
        <w:t>December 28, 2007</w:t>
      </w:r>
    </w:smartTag>
    <w:r>
      <w:rPr>
        <w:sz w:val="18"/>
        <w:szCs w:val="18"/>
      </w:rPr>
      <w:t xml:space="preserve"> (FINAL)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F1280A">
    <w:pPr>
      <w:framePr w:wrap="around" w:vAnchor="text" w:hAnchor="margin" w:xAlign="right" w:y="1"/>
      <w:rPr>
        <w:rStyle w:val="PageNumber"/>
        <w:sz w:val="20"/>
      </w:rPr>
    </w:pPr>
    <w:r>
      <w:rPr>
        <w:rStyle w:val="PageNumber"/>
      </w:rPr>
      <w:fldChar w:fldCharType="begin"/>
    </w:r>
    <w:r>
      <w:rPr>
        <w:rStyle w:val="PageNumber"/>
      </w:rPr>
      <w:instrText xml:space="preserve"> PAGE </w:instrText>
    </w:r>
    <w:r>
      <w:rPr>
        <w:rStyle w:val="PageNumber"/>
      </w:rPr>
      <w:fldChar w:fldCharType="separate"/>
    </w:r>
    <w:r w:rsidR="007F6397">
      <w:rPr>
        <w:rStyle w:val="PageNumber"/>
        <w:noProof/>
      </w:rPr>
      <w:t>iv</w:t>
    </w:r>
    <w:r>
      <w:rPr>
        <w:rStyle w:val="PageNumber"/>
      </w:rPr>
      <w:fldChar w:fldCharType="end"/>
    </w:r>
  </w:p>
  <w:p w:rsidR="00F1280A" w:rsidRDefault="00F1280A" w:rsidP="00402B10">
    <w:pPr>
      <w:rPr>
        <w:sz w:val="18"/>
        <w:szCs w:val="18"/>
      </w:rPr>
    </w:pPr>
    <w:smartTag w:uri="urn:schemas-microsoft-com:office:smarttags" w:element="place">
      <w:smartTag w:uri="urn:schemas-microsoft-com:office:smarttags" w:element="City">
        <w:r>
          <w:rPr>
            <w:sz w:val="18"/>
            <w:szCs w:val="18"/>
          </w:rPr>
          <w:t>San Diego</w:t>
        </w:r>
      </w:smartTag>
    </w:smartTag>
    <w:r>
      <w:rPr>
        <w:sz w:val="18"/>
        <w:szCs w:val="18"/>
      </w:rPr>
      <w:t xml:space="preserve"> – NCTD</w:t>
    </w:r>
  </w:p>
  <w:p w:rsidR="00F1280A" w:rsidRDefault="00F1280A" w:rsidP="00402B10">
    <w:pPr>
      <w:rPr>
        <w:sz w:val="18"/>
        <w:szCs w:val="18"/>
      </w:rPr>
    </w:pPr>
    <w:r>
      <w:rPr>
        <w:sz w:val="18"/>
        <w:szCs w:val="18"/>
      </w:rPr>
      <w:t>Spot Report #11</w:t>
    </w:r>
  </w:p>
  <w:p w:rsidR="00F1280A" w:rsidRDefault="00F1280A" w:rsidP="00402B10">
    <w:pPr>
      <w:rPr>
        <w:sz w:val="18"/>
        <w:szCs w:val="18"/>
      </w:rPr>
    </w:pPr>
    <w:smartTag w:uri="urn:schemas-microsoft-com:office:smarttags" w:element="date">
      <w:smartTagPr>
        <w:attr w:name="Year" w:val="2007"/>
        <w:attr w:name="Day" w:val="28"/>
        <w:attr w:name="Month" w:val="12"/>
      </w:smartTagPr>
      <w:r>
        <w:rPr>
          <w:sz w:val="18"/>
          <w:szCs w:val="18"/>
        </w:rPr>
        <w:t>December 28, 2007</w:t>
      </w:r>
    </w:smartTag>
    <w:r>
      <w:rPr>
        <w:sz w:val="18"/>
        <w:szCs w:val="18"/>
      </w:rPr>
      <w:t xml:space="preserve"> (FINAL)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F1280A">
    <w:pPr>
      <w:framePr w:wrap="around" w:vAnchor="text" w:hAnchor="margin" w:xAlign="right" w:y="1"/>
      <w:rPr>
        <w:rStyle w:val="PageNumber"/>
        <w:sz w:val="20"/>
      </w:rPr>
    </w:pPr>
    <w:r>
      <w:rPr>
        <w:rStyle w:val="PageNumber"/>
      </w:rPr>
      <w:fldChar w:fldCharType="begin"/>
    </w:r>
    <w:r>
      <w:rPr>
        <w:rStyle w:val="PageNumber"/>
      </w:rPr>
      <w:instrText xml:space="preserve"> PAGE </w:instrText>
    </w:r>
    <w:r>
      <w:rPr>
        <w:rStyle w:val="PageNumber"/>
      </w:rPr>
      <w:fldChar w:fldCharType="separate"/>
    </w:r>
    <w:r w:rsidR="007F6397">
      <w:rPr>
        <w:rStyle w:val="PageNumber"/>
        <w:noProof/>
      </w:rPr>
      <w:t>1</w:t>
    </w:r>
    <w:r>
      <w:rPr>
        <w:rStyle w:val="PageNumber"/>
      </w:rPr>
      <w:fldChar w:fldCharType="end"/>
    </w:r>
  </w:p>
  <w:p w:rsidR="00F1280A" w:rsidRDefault="00F1280A" w:rsidP="00402B10">
    <w:pPr>
      <w:rPr>
        <w:sz w:val="18"/>
        <w:szCs w:val="18"/>
      </w:rPr>
    </w:pPr>
    <w:smartTag w:uri="urn:schemas-microsoft-com:office:smarttags" w:element="place">
      <w:smartTag w:uri="urn:schemas-microsoft-com:office:smarttags" w:element="City">
        <w:r>
          <w:rPr>
            <w:sz w:val="18"/>
            <w:szCs w:val="18"/>
          </w:rPr>
          <w:t>San Diego</w:t>
        </w:r>
      </w:smartTag>
    </w:smartTag>
    <w:r>
      <w:rPr>
        <w:sz w:val="18"/>
        <w:szCs w:val="18"/>
      </w:rPr>
      <w:t xml:space="preserve"> – NCTD</w:t>
    </w:r>
  </w:p>
  <w:p w:rsidR="00F1280A" w:rsidRDefault="00F1280A" w:rsidP="00402B10">
    <w:pPr>
      <w:rPr>
        <w:sz w:val="18"/>
        <w:szCs w:val="18"/>
      </w:rPr>
    </w:pPr>
    <w:r>
      <w:rPr>
        <w:sz w:val="18"/>
        <w:szCs w:val="18"/>
      </w:rPr>
      <w:t>Spot Report #11</w:t>
    </w:r>
  </w:p>
  <w:p w:rsidR="00F1280A" w:rsidRDefault="00F1280A" w:rsidP="00402B10">
    <w:pPr>
      <w:rPr>
        <w:sz w:val="18"/>
        <w:szCs w:val="18"/>
      </w:rPr>
    </w:pPr>
    <w:smartTag w:uri="urn:schemas-microsoft-com:office:smarttags" w:element="date">
      <w:smartTagPr>
        <w:attr w:name="Year" w:val="2007"/>
        <w:attr w:name="Day" w:val="28"/>
        <w:attr w:name="Month" w:val="12"/>
      </w:smartTagPr>
      <w:r>
        <w:rPr>
          <w:sz w:val="18"/>
          <w:szCs w:val="18"/>
        </w:rPr>
        <w:t>December 28, 2007</w:t>
      </w:r>
    </w:smartTag>
    <w:r>
      <w:rPr>
        <w:sz w:val="18"/>
        <w:szCs w:val="18"/>
      </w:rPr>
      <w:t xml:space="preserve"> (FINAL)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F1280A">
    <w:pPr>
      <w:framePr w:wrap="around" w:vAnchor="text" w:hAnchor="margin" w:xAlign="right" w:y="1"/>
      <w:rPr>
        <w:rStyle w:val="PageNumber"/>
        <w:sz w:val="20"/>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7F6397">
      <w:rPr>
        <w:rStyle w:val="PageNumber"/>
        <w:noProof/>
      </w:rPr>
      <w:t>1</w:t>
    </w:r>
    <w:r>
      <w:rPr>
        <w:rStyle w:val="PageNumber"/>
      </w:rPr>
      <w:fldChar w:fldCharType="end"/>
    </w:r>
  </w:p>
  <w:p w:rsidR="00F1280A" w:rsidRDefault="00F1280A" w:rsidP="00402B10">
    <w:pPr>
      <w:rPr>
        <w:sz w:val="18"/>
        <w:szCs w:val="18"/>
      </w:rPr>
    </w:pPr>
    <w:smartTag w:uri="urn:schemas-microsoft-com:office:smarttags" w:element="place">
      <w:smartTag w:uri="urn:schemas-microsoft-com:office:smarttags" w:element="City">
        <w:r>
          <w:rPr>
            <w:sz w:val="18"/>
            <w:szCs w:val="18"/>
          </w:rPr>
          <w:t>San Diego</w:t>
        </w:r>
      </w:smartTag>
    </w:smartTag>
    <w:r>
      <w:rPr>
        <w:sz w:val="18"/>
        <w:szCs w:val="18"/>
      </w:rPr>
      <w:t xml:space="preserve"> – NCTD</w:t>
    </w:r>
  </w:p>
  <w:p w:rsidR="00F1280A" w:rsidRDefault="00F1280A" w:rsidP="00402B10">
    <w:pPr>
      <w:rPr>
        <w:sz w:val="18"/>
        <w:szCs w:val="18"/>
      </w:rPr>
    </w:pPr>
    <w:r>
      <w:rPr>
        <w:sz w:val="18"/>
        <w:szCs w:val="18"/>
      </w:rPr>
      <w:t>Spot Report #11</w:t>
    </w:r>
  </w:p>
  <w:p w:rsidR="00F1280A" w:rsidRDefault="00F1280A" w:rsidP="00402B10">
    <w:pPr>
      <w:rPr>
        <w:sz w:val="18"/>
        <w:szCs w:val="18"/>
      </w:rPr>
    </w:pPr>
    <w:smartTag w:uri="urn:schemas-microsoft-com:office:smarttags" w:element="date">
      <w:smartTagPr>
        <w:attr w:name="Month" w:val="12"/>
        <w:attr w:name="Day" w:val="28"/>
        <w:attr w:name="Year" w:val="2007"/>
      </w:smartTagPr>
      <w:r>
        <w:rPr>
          <w:sz w:val="18"/>
          <w:szCs w:val="18"/>
        </w:rPr>
        <w:t>December 28, 2007</w:t>
      </w:r>
    </w:smartTag>
    <w:r>
      <w:rPr>
        <w:sz w:val="18"/>
        <w:szCs w:val="18"/>
      </w:rPr>
      <w:t xml:space="preserve"> (FINAL)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A2E" w:rsidRDefault="006D0A2E">
      <w:r>
        <w:separator/>
      </w:r>
    </w:p>
  </w:footnote>
  <w:footnote w:type="continuationSeparator" w:id="0">
    <w:p w:rsidR="006D0A2E" w:rsidRDefault="006D0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7F63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9776;mso-position-horizontal:center;mso-position-horizontal-relative:margin;mso-position-vertical:center;mso-position-vertical-relative:margin" o:allowincell="f" fillcolor="#cfc"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F1280A">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F128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7F63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1" type="#_x0000_t136" style="position:absolute;margin-left:0;margin-top:0;width:471.3pt;height:188.5pt;rotation:315;z-index:-251657728;mso-position-horizontal:center;mso-position-horizontal-relative:margin;mso-position-vertical:center;mso-position-vertical-relative:margin" o:allowincell="f" fillcolor="#cfc"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F1280A">
    <w:pPr>
      <w:pStyle w:val="Heade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7F63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50" type="#_x0000_t136" style="position:absolute;margin-left:0;margin-top:0;width:471.3pt;height:188.5pt;rotation:315;z-index:-251658752;mso-position-horizontal:center;mso-position-horizontal-relative:margin;mso-position-vertical:center;mso-position-vertical-relative:margin" o:allowincell="f" fillcolor="#cfc"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F1280A">
    <w:pPr>
      <w:pStyle w:val="Heade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F1280A">
    <w:pPr>
      <w:pStyle w:val="Heade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A" w:rsidRDefault="00F1280A">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7645"/>
    <w:multiLevelType w:val="hybridMultilevel"/>
    <w:tmpl w:val="219A8148"/>
    <w:lvl w:ilvl="0" w:tplc="8544ED0C">
      <w:start w:val="1"/>
      <w:numFmt w:val="bullet"/>
      <w:lvlText w:val=""/>
      <w:lvlJc w:val="left"/>
      <w:pPr>
        <w:tabs>
          <w:tab w:val="num" w:pos="2520"/>
        </w:tabs>
        <w:ind w:left="2520" w:hanging="360"/>
      </w:pPr>
      <w:rPr>
        <w:rFonts w:ascii="Wingdings" w:hAnsi="Wingdings" w:hint="default"/>
        <w:b w:val="0"/>
        <w:i w:val="0"/>
        <w:sz w:val="22"/>
        <w:szCs w:val="22"/>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132C2AEB"/>
    <w:multiLevelType w:val="hybridMultilevel"/>
    <w:tmpl w:val="C764D1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251B36"/>
    <w:multiLevelType w:val="hybridMultilevel"/>
    <w:tmpl w:val="52B66B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14A50AD"/>
    <w:multiLevelType w:val="hybridMultilevel"/>
    <w:tmpl w:val="8A2C5DF6"/>
    <w:lvl w:ilvl="0" w:tplc="8544ED0C">
      <w:start w:val="1"/>
      <w:numFmt w:val="bullet"/>
      <w:lvlText w:val=""/>
      <w:lvlJc w:val="left"/>
      <w:pPr>
        <w:tabs>
          <w:tab w:val="num" w:pos="2160"/>
        </w:tabs>
        <w:ind w:left="2160" w:hanging="360"/>
      </w:pPr>
      <w:rPr>
        <w:rFonts w:ascii="Wingdings" w:hAnsi="Wingdings" w:hint="default"/>
        <w:b w:val="0"/>
        <w:i w:val="0"/>
        <w:sz w:val="22"/>
        <w:szCs w:val="22"/>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7DF4E07"/>
    <w:multiLevelType w:val="hybridMultilevel"/>
    <w:tmpl w:val="5838F376"/>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2CAA24B1"/>
    <w:multiLevelType w:val="hybridMultilevel"/>
    <w:tmpl w:val="BF6C1FDC"/>
    <w:lvl w:ilvl="0" w:tplc="6C84A2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8739CB"/>
    <w:multiLevelType w:val="hybridMultilevel"/>
    <w:tmpl w:val="B69875C8"/>
    <w:lvl w:ilvl="0" w:tplc="CC0A529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9A0DAE"/>
    <w:multiLevelType w:val="hybridMultilevel"/>
    <w:tmpl w:val="FAF2C102"/>
    <w:lvl w:ilvl="0" w:tplc="8544ED0C">
      <w:start w:val="1"/>
      <w:numFmt w:val="bullet"/>
      <w:lvlText w:val=""/>
      <w:lvlJc w:val="left"/>
      <w:pPr>
        <w:tabs>
          <w:tab w:val="num" w:pos="1440"/>
        </w:tabs>
        <w:ind w:left="1440" w:hanging="360"/>
      </w:pPr>
      <w:rPr>
        <w:rFonts w:ascii="Wingdings" w:hAnsi="Wingdings" w:hint="default"/>
        <w:b w:val="0"/>
        <w:i w:val="0"/>
        <w:sz w:val="22"/>
        <w:szCs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6727CC3"/>
    <w:multiLevelType w:val="hybridMultilevel"/>
    <w:tmpl w:val="46E2CB3E"/>
    <w:lvl w:ilvl="0" w:tplc="8544ED0C">
      <w:start w:val="1"/>
      <w:numFmt w:val="bullet"/>
      <w:lvlText w:val=""/>
      <w:lvlJc w:val="left"/>
      <w:pPr>
        <w:tabs>
          <w:tab w:val="num" w:pos="1440"/>
        </w:tabs>
        <w:ind w:left="1440" w:hanging="360"/>
      </w:pPr>
      <w:rPr>
        <w:rFonts w:ascii="Wingdings" w:hAnsi="Wingdings" w:hint="default"/>
        <w:b w:val="0"/>
        <w:i w:val="0"/>
        <w:sz w:val="22"/>
        <w:szCs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87E7C57"/>
    <w:multiLevelType w:val="hybridMultilevel"/>
    <w:tmpl w:val="B77C934C"/>
    <w:lvl w:ilvl="0" w:tplc="8544ED0C">
      <w:start w:val="1"/>
      <w:numFmt w:val="bullet"/>
      <w:lvlText w:val=""/>
      <w:lvlJc w:val="left"/>
      <w:pPr>
        <w:tabs>
          <w:tab w:val="num" w:pos="1800"/>
        </w:tabs>
        <w:ind w:left="1800" w:hanging="360"/>
      </w:pPr>
      <w:rPr>
        <w:rFonts w:ascii="Wingdings" w:hAnsi="Wingdings" w:hint="default"/>
        <w:b w:val="0"/>
        <w:i w:val="0"/>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527347B"/>
    <w:multiLevelType w:val="hybridMultilevel"/>
    <w:tmpl w:val="B7A4B680"/>
    <w:lvl w:ilvl="0" w:tplc="C18C887E">
      <w:start w:val="1"/>
      <w:numFmt w:val="decimal"/>
      <w:pStyle w:val="Heading4"/>
      <w:lvlText w:val="%1."/>
      <w:lvlJc w:val="left"/>
      <w:pPr>
        <w:tabs>
          <w:tab w:val="num" w:pos="1080"/>
        </w:tabs>
        <w:ind w:left="1080" w:hanging="360"/>
      </w:pPr>
      <w:rPr>
        <w:rFonts w:hint="default"/>
      </w:rPr>
    </w:lvl>
    <w:lvl w:ilvl="1" w:tplc="CC0A529A">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B2C146A"/>
    <w:multiLevelType w:val="hybridMultilevel"/>
    <w:tmpl w:val="992A5070"/>
    <w:lvl w:ilvl="0" w:tplc="6C84A2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9E244E"/>
    <w:multiLevelType w:val="hybridMultilevel"/>
    <w:tmpl w:val="00066682"/>
    <w:lvl w:ilvl="0" w:tplc="8544ED0C">
      <w:start w:val="1"/>
      <w:numFmt w:val="bullet"/>
      <w:lvlText w:val=""/>
      <w:lvlJc w:val="left"/>
      <w:pPr>
        <w:tabs>
          <w:tab w:val="num" w:pos="1440"/>
        </w:tabs>
        <w:ind w:left="1440" w:hanging="360"/>
      </w:pPr>
      <w:rPr>
        <w:rFonts w:ascii="Wingdings" w:hAnsi="Wingding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6443D6"/>
    <w:multiLevelType w:val="hybridMultilevel"/>
    <w:tmpl w:val="212268E6"/>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2B702C8"/>
    <w:multiLevelType w:val="hybridMultilevel"/>
    <w:tmpl w:val="E6FCD94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35F3D67"/>
    <w:multiLevelType w:val="hybridMultilevel"/>
    <w:tmpl w:val="D610CF00"/>
    <w:lvl w:ilvl="0" w:tplc="8544ED0C">
      <w:start w:val="1"/>
      <w:numFmt w:val="bullet"/>
      <w:lvlText w:val=""/>
      <w:lvlJc w:val="left"/>
      <w:pPr>
        <w:tabs>
          <w:tab w:val="num" w:pos="1440"/>
        </w:tabs>
        <w:ind w:left="1440" w:hanging="360"/>
      </w:pPr>
      <w:rPr>
        <w:rFonts w:ascii="Wingdings" w:hAnsi="Wingding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721B0E"/>
    <w:multiLevelType w:val="hybridMultilevel"/>
    <w:tmpl w:val="54B88E74"/>
    <w:lvl w:ilvl="0" w:tplc="FFFFFFFF">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5C9E6F48"/>
    <w:multiLevelType w:val="hybridMultilevel"/>
    <w:tmpl w:val="D10EA3A0"/>
    <w:lvl w:ilvl="0" w:tplc="FFFFFFFF">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6D9D6FDA"/>
    <w:multiLevelType w:val="hybridMultilevel"/>
    <w:tmpl w:val="7EAC300C"/>
    <w:lvl w:ilvl="0" w:tplc="6C84A2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491811"/>
    <w:multiLevelType w:val="multilevel"/>
    <w:tmpl w:val="A7167DD2"/>
    <w:lvl w:ilvl="0">
      <w:start w:val="1"/>
      <w:numFmt w:val="lowerLetter"/>
      <w:pStyle w:val="Style2"/>
      <w:lvlText w:val="%1."/>
      <w:lvlJc w:val="left"/>
      <w:pPr>
        <w:tabs>
          <w:tab w:val="num" w:pos="3240"/>
        </w:tabs>
        <w:ind w:left="3240" w:hanging="36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0">
    <w:nsid w:val="710C1D64"/>
    <w:multiLevelType w:val="multilevel"/>
    <w:tmpl w:val="7EAC300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9"/>
  </w:num>
  <w:num w:numId="4">
    <w:abstractNumId w:val="10"/>
  </w:num>
  <w:num w:numId="5">
    <w:abstractNumId w:val="4"/>
  </w:num>
  <w:num w:numId="6">
    <w:abstractNumId w:val="16"/>
  </w:num>
  <w:num w:numId="7">
    <w:abstractNumId w:val="17"/>
  </w:num>
  <w:num w:numId="8">
    <w:abstractNumId w:val="13"/>
  </w:num>
  <w:num w:numId="9">
    <w:abstractNumId w:val="9"/>
  </w:num>
  <w:num w:numId="10">
    <w:abstractNumId w:val="7"/>
  </w:num>
  <w:num w:numId="11">
    <w:abstractNumId w:val="8"/>
  </w:num>
  <w:num w:numId="12">
    <w:abstractNumId w:val="15"/>
  </w:num>
  <w:num w:numId="13">
    <w:abstractNumId w:val="12"/>
  </w:num>
  <w:num w:numId="14">
    <w:abstractNumId w:val="0"/>
  </w:num>
  <w:num w:numId="15">
    <w:abstractNumId w:val="3"/>
  </w:num>
  <w:num w:numId="16">
    <w:abstractNumId w:val="14"/>
  </w:num>
  <w:num w:numId="17">
    <w:abstractNumId w:val="18"/>
  </w:num>
  <w:num w:numId="18">
    <w:abstractNumId w:val="5"/>
  </w:num>
  <w:num w:numId="19">
    <w:abstractNumId w:val="20"/>
  </w:num>
  <w:num w:numId="20">
    <w:abstractNumId w:val="11"/>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33"/>
    <w:rsid w:val="000017C4"/>
    <w:rsid w:val="00010402"/>
    <w:rsid w:val="000138F3"/>
    <w:rsid w:val="000155BB"/>
    <w:rsid w:val="000162EC"/>
    <w:rsid w:val="000216EC"/>
    <w:rsid w:val="000225EE"/>
    <w:rsid w:val="00023307"/>
    <w:rsid w:val="0002677C"/>
    <w:rsid w:val="00027012"/>
    <w:rsid w:val="00032D5D"/>
    <w:rsid w:val="00034F19"/>
    <w:rsid w:val="00045747"/>
    <w:rsid w:val="00050D36"/>
    <w:rsid w:val="00055108"/>
    <w:rsid w:val="00055576"/>
    <w:rsid w:val="00060240"/>
    <w:rsid w:val="00063E6F"/>
    <w:rsid w:val="00070DAB"/>
    <w:rsid w:val="0007315C"/>
    <w:rsid w:val="00077473"/>
    <w:rsid w:val="000826CD"/>
    <w:rsid w:val="000913DC"/>
    <w:rsid w:val="00091904"/>
    <w:rsid w:val="00092099"/>
    <w:rsid w:val="000949AB"/>
    <w:rsid w:val="000A1CE7"/>
    <w:rsid w:val="000A3215"/>
    <w:rsid w:val="000A3AE6"/>
    <w:rsid w:val="000A7131"/>
    <w:rsid w:val="000B0E7A"/>
    <w:rsid w:val="000B1812"/>
    <w:rsid w:val="000C4F2F"/>
    <w:rsid w:val="000D0717"/>
    <w:rsid w:val="000D1540"/>
    <w:rsid w:val="000D71F2"/>
    <w:rsid w:val="000E5569"/>
    <w:rsid w:val="000F599E"/>
    <w:rsid w:val="000F6589"/>
    <w:rsid w:val="00100486"/>
    <w:rsid w:val="0010195A"/>
    <w:rsid w:val="00107FFE"/>
    <w:rsid w:val="00113B29"/>
    <w:rsid w:val="001162CF"/>
    <w:rsid w:val="0011716C"/>
    <w:rsid w:val="00122C0F"/>
    <w:rsid w:val="00123B74"/>
    <w:rsid w:val="0012496D"/>
    <w:rsid w:val="00124E1E"/>
    <w:rsid w:val="00130D25"/>
    <w:rsid w:val="00130D43"/>
    <w:rsid w:val="00133A41"/>
    <w:rsid w:val="00133FF0"/>
    <w:rsid w:val="00135E52"/>
    <w:rsid w:val="00136417"/>
    <w:rsid w:val="00137623"/>
    <w:rsid w:val="00142291"/>
    <w:rsid w:val="001477EF"/>
    <w:rsid w:val="0015010F"/>
    <w:rsid w:val="00161A56"/>
    <w:rsid w:val="00164BB3"/>
    <w:rsid w:val="00165142"/>
    <w:rsid w:val="001702B4"/>
    <w:rsid w:val="00171BC7"/>
    <w:rsid w:val="00182873"/>
    <w:rsid w:val="00191860"/>
    <w:rsid w:val="00196FD4"/>
    <w:rsid w:val="00197E7B"/>
    <w:rsid w:val="001B01FC"/>
    <w:rsid w:val="001B3F71"/>
    <w:rsid w:val="001C74C4"/>
    <w:rsid w:val="001D485A"/>
    <w:rsid w:val="001D4993"/>
    <w:rsid w:val="001D4A66"/>
    <w:rsid w:val="001D5AE2"/>
    <w:rsid w:val="001D72A3"/>
    <w:rsid w:val="001E24FE"/>
    <w:rsid w:val="001E3F93"/>
    <w:rsid w:val="001E3FAB"/>
    <w:rsid w:val="001E411B"/>
    <w:rsid w:val="00202C2B"/>
    <w:rsid w:val="00212329"/>
    <w:rsid w:val="00212521"/>
    <w:rsid w:val="002128F7"/>
    <w:rsid w:val="00212BD3"/>
    <w:rsid w:val="00213096"/>
    <w:rsid w:val="00216DF3"/>
    <w:rsid w:val="00223E0E"/>
    <w:rsid w:val="00224B27"/>
    <w:rsid w:val="0023702D"/>
    <w:rsid w:val="0024091D"/>
    <w:rsid w:val="00246769"/>
    <w:rsid w:val="0024695E"/>
    <w:rsid w:val="00251A5F"/>
    <w:rsid w:val="00255B13"/>
    <w:rsid w:val="0026026B"/>
    <w:rsid w:val="00264A07"/>
    <w:rsid w:val="00264A83"/>
    <w:rsid w:val="00266BA6"/>
    <w:rsid w:val="0027079A"/>
    <w:rsid w:val="00275ABC"/>
    <w:rsid w:val="0028153F"/>
    <w:rsid w:val="002837D0"/>
    <w:rsid w:val="00286EB0"/>
    <w:rsid w:val="002929DB"/>
    <w:rsid w:val="0029564A"/>
    <w:rsid w:val="00295C75"/>
    <w:rsid w:val="002A21E3"/>
    <w:rsid w:val="002A36E6"/>
    <w:rsid w:val="002A7233"/>
    <w:rsid w:val="002B0290"/>
    <w:rsid w:val="002B27B3"/>
    <w:rsid w:val="002B4044"/>
    <w:rsid w:val="002B534C"/>
    <w:rsid w:val="002C0DF2"/>
    <w:rsid w:val="002C3258"/>
    <w:rsid w:val="002C3CD1"/>
    <w:rsid w:val="002C4C26"/>
    <w:rsid w:val="002E254E"/>
    <w:rsid w:val="002E3B29"/>
    <w:rsid w:val="002E4CFA"/>
    <w:rsid w:val="002E5311"/>
    <w:rsid w:val="002E66EA"/>
    <w:rsid w:val="002E797B"/>
    <w:rsid w:val="002F285C"/>
    <w:rsid w:val="002F75D7"/>
    <w:rsid w:val="00300FF3"/>
    <w:rsid w:val="0030117E"/>
    <w:rsid w:val="00303963"/>
    <w:rsid w:val="00304F48"/>
    <w:rsid w:val="003060F4"/>
    <w:rsid w:val="0030734B"/>
    <w:rsid w:val="00310FAE"/>
    <w:rsid w:val="00321F59"/>
    <w:rsid w:val="003315EC"/>
    <w:rsid w:val="00332F56"/>
    <w:rsid w:val="003417E2"/>
    <w:rsid w:val="00342D53"/>
    <w:rsid w:val="00354F5B"/>
    <w:rsid w:val="003552B6"/>
    <w:rsid w:val="00355E3B"/>
    <w:rsid w:val="00356437"/>
    <w:rsid w:val="00363B4C"/>
    <w:rsid w:val="003663F4"/>
    <w:rsid w:val="00366A3B"/>
    <w:rsid w:val="00370458"/>
    <w:rsid w:val="0037110E"/>
    <w:rsid w:val="0037405E"/>
    <w:rsid w:val="00376D92"/>
    <w:rsid w:val="0037766F"/>
    <w:rsid w:val="00380093"/>
    <w:rsid w:val="00394E54"/>
    <w:rsid w:val="003967BC"/>
    <w:rsid w:val="003B4AAA"/>
    <w:rsid w:val="003B5328"/>
    <w:rsid w:val="003B5546"/>
    <w:rsid w:val="003C137F"/>
    <w:rsid w:val="003D1D06"/>
    <w:rsid w:val="003D2494"/>
    <w:rsid w:val="003D47D2"/>
    <w:rsid w:val="003D4802"/>
    <w:rsid w:val="003E09FD"/>
    <w:rsid w:val="003E58D8"/>
    <w:rsid w:val="003F5F14"/>
    <w:rsid w:val="003F779A"/>
    <w:rsid w:val="00402B10"/>
    <w:rsid w:val="00411D07"/>
    <w:rsid w:val="00411D51"/>
    <w:rsid w:val="004129F6"/>
    <w:rsid w:val="00414AD0"/>
    <w:rsid w:val="00416D11"/>
    <w:rsid w:val="004171C4"/>
    <w:rsid w:val="0042348D"/>
    <w:rsid w:val="004277B1"/>
    <w:rsid w:val="00431B38"/>
    <w:rsid w:val="00433912"/>
    <w:rsid w:val="00436816"/>
    <w:rsid w:val="004369DD"/>
    <w:rsid w:val="00443AD7"/>
    <w:rsid w:val="00446823"/>
    <w:rsid w:val="00446AE9"/>
    <w:rsid w:val="0044751E"/>
    <w:rsid w:val="00454964"/>
    <w:rsid w:val="00464ABE"/>
    <w:rsid w:val="00464F0E"/>
    <w:rsid w:val="004659E6"/>
    <w:rsid w:val="00470E3C"/>
    <w:rsid w:val="00471949"/>
    <w:rsid w:val="0047206A"/>
    <w:rsid w:val="00487271"/>
    <w:rsid w:val="004874CD"/>
    <w:rsid w:val="00495538"/>
    <w:rsid w:val="004A2346"/>
    <w:rsid w:val="004A7FD1"/>
    <w:rsid w:val="004B4F77"/>
    <w:rsid w:val="004C51EC"/>
    <w:rsid w:val="004C6A02"/>
    <w:rsid w:val="004D3CAC"/>
    <w:rsid w:val="004E597D"/>
    <w:rsid w:val="00502361"/>
    <w:rsid w:val="00502CAB"/>
    <w:rsid w:val="00506ABB"/>
    <w:rsid w:val="005111A2"/>
    <w:rsid w:val="005162A2"/>
    <w:rsid w:val="00516C04"/>
    <w:rsid w:val="005218CC"/>
    <w:rsid w:val="00532984"/>
    <w:rsid w:val="00536404"/>
    <w:rsid w:val="005605A1"/>
    <w:rsid w:val="005729A9"/>
    <w:rsid w:val="00573521"/>
    <w:rsid w:val="00573B29"/>
    <w:rsid w:val="00575933"/>
    <w:rsid w:val="00580BDC"/>
    <w:rsid w:val="0058263B"/>
    <w:rsid w:val="00585E18"/>
    <w:rsid w:val="005948C7"/>
    <w:rsid w:val="00594B89"/>
    <w:rsid w:val="00595101"/>
    <w:rsid w:val="005A03C8"/>
    <w:rsid w:val="005A18D1"/>
    <w:rsid w:val="005A6A75"/>
    <w:rsid w:val="005B5F3D"/>
    <w:rsid w:val="005B6D0F"/>
    <w:rsid w:val="005C4232"/>
    <w:rsid w:val="005D3AE9"/>
    <w:rsid w:val="005D46BC"/>
    <w:rsid w:val="005D49E3"/>
    <w:rsid w:val="005E29FF"/>
    <w:rsid w:val="005E33F3"/>
    <w:rsid w:val="005E4458"/>
    <w:rsid w:val="005F216C"/>
    <w:rsid w:val="00600869"/>
    <w:rsid w:val="00604EC4"/>
    <w:rsid w:val="00605604"/>
    <w:rsid w:val="00610F0C"/>
    <w:rsid w:val="0061496C"/>
    <w:rsid w:val="006269C2"/>
    <w:rsid w:val="00633BBA"/>
    <w:rsid w:val="00645646"/>
    <w:rsid w:val="00645C83"/>
    <w:rsid w:val="0064651B"/>
    <w:rsid w:val="006465D6"/>
    <w:rsid w:val="00646DAD"/>
    <w:rsid w:val="00657791"/>
    <w:rsid w:val="00667528"/>
    <w:rsid w:val="00673A66"/>
    <w:rsid w:val="006823D3"/>
    <w:rsid w:val="00686F42"/>
    <w:rsid w:val="00690C87"/>
    <w:rsid w:val="00693AED"/>
    <w:rsid w:val="00694906"/>
    <w:rsid w:val="00694CEF"/>
    <w:rsid w:val="00697957"/>
    <w:rsid w:val="00697F6D"/>
    <w:rsid w:val="006A750A"/>
    <w:rsid w:val="006B0430"/>
    <w:rsid w:val="006C287A"/>
    <w:rsid w:val="006C2E2E"/>
    <w:rsid w:val="006C4B0D"/>
    <w:rsid w:val="006C4F3C"/>
    <w:rsid w:val="006C6310"/>
    <w:rsid w:val="006D0A2E"/>
    <w:rsid w:val="006E06E6"/>
    <w:rsid w:val="006E316A"/>
    <w:rsid w:val="006E7FB5"/>
    <w:rsid w:val="006F177E"/>
    <w:rsid w:val="006F3B6B"/>
    <w:rsid w:val="006F6C02"/>
    <w:rsid w:val="00700F00"/>
    <w:rsid w:val="0070231E"/>
    <w:rsid w:val="007028BB"/>
    <w:rsid w:val="00706FDD"/>
    <w:rsid w:val="00710FAE"/>
    <w:rsid w:val="00713CA8"/>
    <w:rsid w:val="00715768"/>
    <w:rsid w:val="0072037D"/>
    <w:rsid w:val="00721D0E"/>
    <w:rsid w:val="00722BEB"/>
    <w:rsid w:val="00734842"/>
    <w:rsid w:val="00740869"/>
    <w:rsid w:val="00740FCD"/>
    <w:rsid w:val="007413C4"/>
    <w:rsid w:val="00741D70"/>
    <w:rsid w:val="00744C6F"/>
    <w:rsid w:val="00751129"/>
    <w:rsid w:val="00753B00"/>
    <w:rsid w:val="00755700"/>
    <w:rsid w:val="00755EC2"/>
    <w:rsid w:val="00763E82"/>
    <w:rsid w:val="0077265C"/>
    <w:rsid w:val="00775B09"/>
    <w:rsid w:val="00781799"/>
    <w:rsid w:val="00783955"/>
    <w:rsid w:val="00784DF5"/>
    <w:rsid w:val="00786D2B"/>
    <w:rsid w:val="00795E02"/>
    <w:rsid w:val="00797FF8"/>
    <w:rsid w:val="007A381D"/>
    <w:rsid w:val="007A45AE"/>
    <w:rsid w:val="007A7B8F"/>
    <w:rsid w:val="007B5219"/>
    <w:rsid w:val="007D0958"/>
    <w:rsid w:val="007D0D89"/>
    <w:rsid w:val="007D2154"/>
    <w:rsid w:val="007E3102"/>
    <w:rsid w:val="007E752D"/>
    <w:rsid w:val="007F23A5"/>
    <w:rsid w:val="007F3000"/>
    <w:rsid w:val="007F5F13"/>
    <w:rsid w:val="007F6397"/>
    <w:rsid w:val="0080221D"/>
    <w:rsid w:val="008049AE"/>
    <w:rsid w:val="008062DC"/>
    <w:rsid w:val="00806A41"/>
    <w:rsid w:val="00811075"/>
    <w:rsid w:val="00816039"/>
    <w:rsid w:val="00817A99"/>
    <w:rsid w:val="00822365"/>
    <w:rsid w:val="00824CC7"/>
    <w:rsid w:val="008258EF"/>
    <w:rsid w:val="00825A85"/>
    <w:rsid w:val="0082700D"/>
    <w:rsid w:val="00830250"/>
    <w:rsid w:val="00832DE6"/>
    <w:rsid w:val="00846AC7"/>
    <w:rsid w:val="00847A8C"/>
    <w:rsid w:val="00860BCB"/>
    <w:rsid w:val="00862947"/>
    <w:rsid w:val="00871373"/>
    <w:rsid w:val="00873A12"/>
    <w:rsid w:val="00877CA5"/>
    <w:rsid w:val="0088079D"/>
    <w:rsid w:val="00884FD1"/>
    <w:rsid w:val="00885D35"/>
    <w:rsid w:val="00887B22"/>
    <w:rsid w:val="0089209C"/>
    <w:rsid w:val="00893029"/>
    <w:rsid w:val="00893033"/>
    <w:rsid w:val="0089316B"/>
    <w:rsid w:val="00896706"/>
    <w:rsid w:val="008A050D"/>
    <w:rsid w:val="008A3BDD"/>
    <w:rsid w:val="008A40F8"/>
    <w:rsid w:val="008B0234"/>
    <w:rsid w:val="008B3AA7"/>
    <w:rsid w:val="008B712C"/>
    <w:rsid w:val="008C7078"/>
    <w:rsid w:val="008D2F78"/>
    <w:rsid w:val="008D2FC5"/>
    <w:rsid w:val="008D34A7"/>
    <w:rsid w:val="008D5BEA"/>
    <w:rsid w:val="008E07B6"/>
    <w:rsid w:val="008E1761"/>
    <w:rsid w:val="008E3648"/>
    <w:rsid w:val="008E4877"/>
    <w:rsid w:val="00900EAA"/>
    <w:rsid w:val="00903A1E"/>
    <w:rsid w:val="0090521C"/>
    <w:rsid w:val="00913159"/>
    <w:rsid w:val="009147A9"/>
    <w:rsid w:val="009164C8"/>
    <w:rsid w:val="009164CF"/>
    <w:rsid w:val="0092211D"/>
    <w:rsid w:val="0093422F"/>
    <w:rsid w:val="009342BC"/>
    <w:rsid w:val="00952223"/>
    <w:rsid w:val="00954773"/>
    <w:rsid w:val="00954F9B"/>
    <w:rsid w:val="00955E1A"/>
    <w:rsid w:val="00961084"/>
    <w:rsid w:val="0096676B"/>
    <w:rsid w:val="00977DF7"/>
    <w:rsid w:val="00983340"/>
    <w:rsid w:val="0098414E"/>
    <w:rsid w:val="009878DB"/>
    <w:rsid w:val="00994D50"/>
    <w:rsid w:val="009A1919"/>
    <w:rsid w:val="009A4C94"/>
    <w:rsid w:val="009A4F24"/>
    <w:rsid w:val="009A65BC"/>
    <w:rsid w:val="009B08D3"/>
    <w:rsid w:val="009B57AD"/>
    <w:rsid w:val="009C251F"/>
    <w:rsid w:val="009C3DF8"/>
    <w:rsid w:val="009C7D10"/>
    <w:rsid w:val="009E48D0"/>
    <w:rsid w:val="009E53F4"/>
    <w:rsid w:val="009E606A"/>
    <w:rsid w:val="009E79DC"/>
    <w:rsid w:val="009F6BA0"/>
    <w:rsid w:val="00A00A0E"/>
    <w:rsid w:val="00A01C53"/>
    <w:rsid w:val="00A02A77"/>
    <w:rsid w:val="00A04D78"/>
    <w:rsid w:val="00A13CF9"/>
    <w:rsid w:val="00A14E01"/>
    <w:rsid w:val="00A2305B"/>
    <w:rsid w:val="00A302BB"/>
    <w:rsid w:val="00A30850"/>
    <w:rsid w:val="00A30C6A"/>
    <w:rsid w:val="00A31413"/>
    <w:rsid w:val="00A369D9"/>
    <w:rsid w:val="00A375D7"/>
    <w:rsid w:val="00A418D5"/>
    <w:rsid w:val="00A43583"/>
    <w:rsid w:val="00A53F95"/>
    <w:rsid w:val="00A5487E"/>
    <w:rsid w:val="00A54BA5"/>
    <w:rsid w:val="00A561E1"/>
    <w:rsid w:val="00A60B72"/>
    <w:rsid w:val="00A61600"/>
    <w:rsid w:val="00A71266"/>
    <w:rsid w:val="00A714E0"/>
    <w:rsid w:val="00A738B4"/>
    <w:rsid w:val="00A744FF"/>
    <w:rsid w:val="00A77E74"/>
    <w:rsid w:val="00A83AF1"/>
    <w:rsid w:val="00A93371"/>
    <w:rsid w:val="00A9651D"/>
    <w:rsid w:val="00AA0957"/>
    <w:rsid w:val="00AA4BAA"/>
    <w:rsid w:val="00AA6DED"/>
    <w:rsid w:val="00AB66F3"/>
    <w:rsid w:val="00AC7ABF"/>
    <w:rsid w:val="00AD1C56"/>
    <w:rsid w:val="00AD5885"/>
    <w:rsid w:val="00AE012D"/>
    <w:rsid w:val="00AE484B"/>
    <w:rsid w:val="00AF0401"/>
    <w:rsid w:val="00AF0D61"/>
    <w:rsid w:val="00AF49D0"/>
    <w:rsid w:val="00AF4C43"/>
    <w:rsid w:val="00B002C1"/>
    <w:rsid w:val="00B005B9"/>
    <w:rsid w:val="00B01FC5"/>
    <w:rsid w:val="00B25DB1"/>
    <w:rsid w:val="00B30951"/>
    <w:rsid w:val="00B32D6C"/>
    <w:rsid w:val="00B337F3"/>
    <w:rsid w:val="00B35964"/>
    <w:rsid w:val="00B375C8"/>
    <w:rsid w:val="00B514B4"/>
    <w:rsid w:val="00B530AE"/>
    <w:rsid w:val="00B54785"/>
    <w:rsid w:val="00B55037"/>
    <w:rsid w:val="00B55154"/>
    <w:rsid w:val="00B55B66"/>
    <w:rsid w:val="00B60658"/>
    <w:rsid w:val="00B6250F"/>
    <w:rsid w:val="00B64144"/>
    <w:rsid w:val="00B74ADD"/>
    <w:rsid w:val="00B75937"/>
    <w:rsid w:val="00B80D39"/>
    <w:rsid w:val="00B83160"/>
    <w:rsid w:val="00B8653D"/>
    <w:rsid w:val="00B94294"/>
    <w:rsid w:val="00BA1D2F"/>
    <w:rsid w:val="00BA3CAB"/>
    <w:rsid w:val="00BA3FBC"/>
    <w:rsid w:val="00BA61F9"/>
    <w:rsid w:val="00BA7281"/>
    <w:rsid w:val="00BB50ED"/>
    <w:rsid w:val="00BC196A"/>
    <w:rsid w:val="00BD18FB"/>
    <w:rsid w:val="00BD6F41"/>
    <w:rsid w:val="00BD73DA"/>
    <w:rsid w:val="00BE5290"/>
    <w:rsid w:val="00BF175D"/>
    <w:rsid w:val="00BF6AF3"/>
    <w:rsid w:val="00C033DE"/>
    <w:rsid w:val="00C03925"/>
    <w:rsid w:val="00C0557E"/>
    <w:rsid w:val="00C16910"/>
    <w:rsid w:val="00C204D8"/>
    <w:rsid w:val="00C23FF7"/>
    <w:rsid w:val="00C258A0"/>
    <w:rsid w:val="00C2778C"/>
    <w:rsid w:val="00C30CAC"/>
    <w:rsid w:val="00C31A1D"/>
    <w:rsid w:val="00C350DB"/>
    <w:rsid w:val="00C44A92"/>
    <w:rsid w:val="00C47475"/>
    <w:rsid w:val="00C477FC"/>
    <w:rsid w:val="00C51808"/>
    <w:rsid w:val="00C53511"/>
    <w:rsid w:val="00C53C4F"/>
    <w:rsid w:val="00C55B87"/>
    <w:rsid w:val="00C55FD4"/>
    <w:rsid w:val="00C570E0"/>
    <w:rsid w:val="00C64E42"/>
    <w:rsid w:val="00C65C3B"/>
    <w:rsid w:val="00C669D0"/>
    <w:rsid w:val="00C66C64"/>
    <w:rsid w:val="00C70EB4"/>
    <w:rsid w:val="00C72B6B"/>
    <w:rsid w:val="00C72DE8"/>
    <w:rsid w:val="00C75B8B"/>
    <w:rsid w:val="00C76D0C"/>
    <w:rsid w:val="00C7796C"/>
    <w:rsid w:val="00C80152"/>
    <w:rsid w:val="00C847DE"/>
    <w:rsid w:val="00C86A20"/>
    <w:rsid w:val="00C9379E"/>
    <w:rsid w:val="00C9540D"/>
    <w:rsid w:val="00CA1735"/>
    <w:rsid w:val="00CA280E"/>
    <w:rsid w:val="00CA6A10"/>
    <w:rsid w:val="00CC19B4"/>
    <w:rsid w:val="00CC410A"/>
    <w:rsid w:val="00CC576A"/>
    <w:rsid w:val="00CD3528"/>
    <w:rsid w:val="00CD6E57"/>
    <w:rsid w:val="00CD778C"/>
    <w:rsid w:val="00CE3328"/>
    <w:rsid w:val="00CE3347"/>
    <w:rsid w:val="00CE3C60"/>
    <w:rsid w:val="00CF2C79"/>
    <w:rsid w:val="00CF4306"/>
    <w:rsid w:val="00CF7D78"/>
    <w:rsid w:val="00CF7F2E"/>
    <w:rsid w:val="00D006D9"/>
    <w:rsid w:val="00D02258"/>
    <w:rsid w:val="00D07F7C"/>
    <w:rsid w:val="00D105C6"/>
    <w:rsid w:val="00D123A9"/>
    <w:rsid w:val="00D13334"/>
    <w:rsid w:val="00D140C8"/>
    <w:rsid w:val="00D2183E"/>
    <w:rsid w:val="00D244FC"/>
    <w:rsid w:val="00D33237"/>
    <w:rsid w:val="00D34D54"/>
    <w:rsid w:val="00D357E0"/>
    <w:rsid w:val="00D359B4"/>
    <w:rsid w:val="00D3764E"/>
    <w:rsid w:val="00D46DAD"/>
    <w:rsid w:val="00D5168D"/>
    <w:rsid w:val="00D51B65"/>
    <w:rsid w:val="00D63AEA"/>
    <w:rsid w:val="00D6461C"/>
    <w:rsid w:val="00D663F4"/>
    <w:rsid w:val="00D84EEF"/>
    <w:rsid w:val="00DA1B73"/>
    <w:rsid w:val="00DA1E0E"/>
    <w:rsid w:val="00DA4898"/>
    <w:rsid w:val="00DA6286"/>
    <w:rsid w:val="00DA7614"/>
    <w:rsid w:val="00DB0755"/>
    <w:rsid w:val="00DB5919"/>
    <w:rsid w:val="00DB5CB5"/>
    <w:rsid w:val="00DC5C31"/>
    <w:rsid w:val="00DC654F"/>
    <w:rsid w:val="00DC7D9D"/>
    <w:rsid w:val="00DD5096"/>
    <w:rsid w:val="00DE0036"/>
    <w:rsid w:val="00DE0BA7"/>
    <w:rsid w:val="00DE3AAE"/>
    <w:rsid w:val="00DE63D5"/>
    <w:rsid w:val="00DF11D8"/>
    <w:rsid w:val="00DF210B"/>
    <w:rsid w:val="00DF2A76"/>
    <w:rsid w:val="00E0014B"/>
    <w:rsid w:val="00E0240C"/>
    <w:rsid w:val="00E15299"/>
    <w:rsid w:val="00E1653E"/>
    <w:rsid w:val="00E16EC9"/>
    <w:rsid w:val="00E23277"/>
    <w:rsid w:val="00E24E5F"/>
    <w:rsid w:val="00E27590"/>
    <w:rsid w:val="00E30162"/>
    <w:rsid w:val="00E34B79"/>
    <w:rsid w:val="00E44A10"/>
    <w:rsid w:val="00E47D44"/>
    <w:rsid w:val="00E548F4"/>
    <w:rsid w:val="00E55C5D"/>
    <w:rsid w:val="00E56B77"/>
    <w:rsid w:val="00E56C96"/>
    <w:rsid w:val="00E57AC2"/>
    <w:rsid w:val="00E61603"/>
    <w:rsid w:val="00E7091D"/>
    <w:rsid w:val="00E74905"/>
    <w:rsid w:val="00E7529E"/>
    <w:rsid w:val="00E755DB"/>
    <w:rsid w:val="00E81122"/>
    <w:rsid w:val="00E86A27"/>
    <w:rsid w:val="00E96108"/>
    <w:rsid w:val="00EA1224"/>
    <w:rsid w:val="00EA3F58"/>
    <w:rsid w:val="00EA46A2"/>
    <w:rsid w:val="00EA67E0"/>
    <w:rsid w:val="00EC2E6C"/>
    <w:rsid w:val="00EC5E0D"/>
    <w:rsid w:val="00EC7520"/>
    <w:rsid w:val="00ED71FC"/>
    <w:rsid w:val="00EE29A9"/>
    <w:rsid w:val="00EF400E"/>
    <w:rsid w:val="00EF5ADE"/>
    <w:rsid w:val="00F01E8C"/>
    <w:rsid w:val="00F03A2E"/>
    <w:rsid w:val="00F03D17"/>
    <w:rsid w:val="00F03D89"/>
    <w:rsid w:val="00F03E33"/>
    <w:rsid w:val="00F05204"/>
    <w:rsid w:val="00F0521C"/>
    <w:rsid w:val="00F070DA"/>
    <w:rsid w:val="00F1280A"/>
    <w:rsid w:val="00F219B8"/>
    <w:rsid w:val="00F24452"/>
    <w:rsid w:val="00F267E1"/>
    <w:rsid w:val="00F30CB1"/>
    <w:rsid w:val="00F34075"/>
    <w:rsid w:val="00F34F07"/>
    <w:rsid w:val="00F43BE4"/>
    <w:rsid w:val="00F476C1"/>
    <w:rsid w:val="00F64EF0"/>
    <w:rsid w:val="00F706D0"/>
    <w:rsid w:val="00F77819"/>
    <w:rsid w:val="00F77B82"/>
    <w:rsid w:val="00F87355"/>
    <w:rsid w:val="00F9114A"/>
    <w:rsid w:val="00F925DE"/>
    <w:rsid w:val="00F95FF6"/>
    <w:rsid w:val="00F96AF2"/>
    <w:rsid w:val="00F96B21"/>
    <w:rsid w:val="00FA1300"/>
    <w:rsid w:val="00FA5F56"/>
    <w:rsid w:val="00FB2C41"/>
    <w:rsid w:val="00FB40CA"/>
    <w:rsid w:val="00FB58B4"/>
    <w:rsid w:val="00FC2DB5"/>
    <w:rsid w:val="00FC3FEB"/>
    <w:rsid w:val="00FC4344"/>
    <w:rsid w:val="00FC75D3"/>
    <w:rsid w:val="00FD0962"/>
    <w:rsid w:val="00FD5FFA"/>
    <w:rsid w:val="00FD62C1"/>
    <w:rsid w:val="00FD6B66"/>
    <w:rsid w:val="00FE6485"/>
    <w:rsid w:val="00FF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0F4"/>
    <w:rPr>
      <w:sz w:val="24"/>
      <w:szCs w:val="24"/>
    </w:rPr>
  </w:style>
  <w:style w:type="paragraph" w:styleId="Heading1">
    <w:name w:val="heading 1"/>
    <w:basedOn w:val="Normal"/>
    <w:next w:val="Normal"/>
    <w:qFormat/>
    <w:pPr>
      <w:keepNext/>
      <w:tabs>
        <w:tab w:val="left" w:pos="720"/>
      </w:tabs>
      <w:jc w:val="center"/>
      <w:outlineLvl w:val="0"/>
    </w:pPr>
    <w:rPr>
      <w:rFonts w:ascii="Times New Roman Bold" w:hAnsi="Times New Roman Bold"/>
      <w:b/>
    </w:rPr>
  </w:style>
  <w:style w:type="paragraph" w:styleId="Heading2">
    <w:name w:val="heading 2"/>
    <w:basedOn w:val="Normal"/>
    <w:next w:val="Normal"/>
    <w:qFormat/>
    <w:pPr>
      <w:keepNext/>
      <w:numPr>
        <w:ilvl w:val="1"/>
        <w:numId w:val="3"/>
      </w:numPr>
      <w:spacing w:after="240"/>
      <w:outlineLvl w:val="1"/>
    </w:pPr>
    <w:rPr>
      <w:b/>
      <w:bCs/>
    </w:rPr>
  </w:style>
  <w:style w:type="paragraph" w:styleId="Heading3">
    <w:name w:val="heading 3"/>
    <w:basedOn w:val="Normal"/>
    <w:next w:val="Normal"/>
    <w:qFormat/>
    <w:pPr>
      <w:keepNext/>
      <w:numPr>
        <w:ilvl w:val="2"/>
        <w:numId w:val="3"/>
      </w:numPr>
      <w:spacing w:after="100" w:afterAutospacing="1"/>
      <w:outlineLvl w:val="2"/>
    </w:pPr>
    <w:rPr>
      <w:rFonts w:cs="Arial"/>
      <w:b/>
      <w:bCs/>
      <w:szCs w:val="26"/>
    </w:rPr>
  </w:style>
  <w:style w:type="paragraph" w:styleId="Heading4">
    <w:name w:val="heading 4"/>
    <w:basedOn w:val="Normal"/>
    <w:next w:val="Normal"/>
    <w:autoRedefine/>
    <w:qFormat/>
    <w:pPr>
      <w:keepNext/>
      <w:numPr>
        <w:numId w:val="4"/>
      </w:numPr>
      <w:tabs>
        <w:tab w:val="clear" w:pos="1080"/>
        <w:tab w:val="left" w:pos="1440"/>
      </w:tabs>
      <w:spacing w:after="100" w:afterAutospacing="1"/>
      <w:outlineLvl w:val="3"/>
    </w:pPr>
    <w:rPr>
      <w:rFonts w:ascii="Times New Roman Bold" w:hAnsi="Times New Roman Bold"/>
      <w:b/>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keepNext/>
      <w:numPr>
        <w:ilvl w:val="7"/>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rFonts w:ascii="Bookman Old Style" w:hAnsi="Bookman Old Style"/>
      <w:b/>
      <w:sz w:val="32"/>
      <w:szCs w:val="20"/>
    </w:rPr>
  </w:style>
  <w:style w:type="paragraph" w:styleId="Heading9">
    <w:name w:val="heading 9"/>
    <w:basedOn w:val="Normal"/>
    <w:next w:val="Normal"/>
    <w:qFormat/>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tabs>
        <w:tab w:val="left" w:pos="720"/>
        <w:tab w:val="right" w:leader="dot" w:pos="9350"/>
      </w:tabs>
      <w:spacing w:before="100" w:beforeAutospacing="1" w:after="100" w:afterAutospacing="1"/>
    </w:pPr>
    <w:rPr>
      <w:b/>
      <w:noProof/>
      <w:szCs w:val="22"/>
    </w:rPr>
  </w:style>
  <w:style w:type="paragraph" w:styleId="TOC2">
    <w:name w:val="toc 2"/>
    <w:basedOn w:val="Normal"/>
    <w:next w:val="Normal"/>
    <w:autoRedefine/>
    <w:semiHidden/>
    <w:pPr>
      <w:keepNext/>
      <w:tabs>
        <w:tab w:val="left" w:pos="720"/>
        <w:tab w:val="right" w:leader="dot" w:pos="9350"/>
      </w:tabs>
      <w:spacing w:before="100" w:beforeAutospacing="1"/>
      <w:jc w:val="center"/>
    </w:pPr>
    <w:rPr>
      <w:b/>
      <w:bCs/>
    </w:rPr>
  </w:style>
  <w:style w:type="paragraph" w:styleId="TOC3">
    <w:name w:val="toc 3"/>
    <w:basedOn w:val="Normal"/>
    <w:next w:val="Normal"/>
    <w:autoRedefine/>
    <w:semiHidden/>
    <w:pPr>
      <w:tabs>
        <w:tab w:val="left" w:pos="720"/>
        <w:tab w:val="right" w:leader="dot" w:pos="9346"/>
      </w:tabs>
      <w:ind w:left="720"/>
    </w:pPr>
    <w:rPr>
      <w:noProof/>
    </w:rPr>
  </w:style>
  <w:style w:type="paragraph" w:styleId="TOC4">
    <w:name w:val="toc 4"/>
    <w:basedOn w:val="Normal"/>
    <w:next w:val="Normal"/>
    <w:autoRedefine/>
    <w:semiHidden/>
    <w:pPr>
      <w:tabs>
        <w:tab w:val="left" w:pos="1847"/>
        <w:tab w:val="left" w:pos="2160"/>
        <w:tab w:val="right" w:leader="dot" w:pos="9346"/>
      </w:tabs>
      <w:ind w:left="1440"/>
    </w:pPr>
    <w:rPr>
      <w:noProof/>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7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BodyTextIndent">
    <w:name w:val="Body Text Indent"/>
    <w:basedOn w:val="Normal"/>
    <w:pPr>
      <w:ind w:left="1080"/>
    </w:pPr>
  </w:style>
  <w:style w:type="paragraph" w:styleId="BodyTextIndent2">
    <w:name w:val="Body Text Indent 2"/>
    <w:basedOn w:val="Normal"/>
    <w:pPr>
      <w:ind w:left="1440"/>
    </w:pPr>
  </w:style>
  <w:style w:type="paragraph" w:styleId="BodyTextIndent3">
    <w:name w:val="Body Text Indent 3"/>
    <w:basedOn w:val="Normal"/>
    <w:pPr>
      <w:ind w:left="2160"/>
    </w:pPr>
  </w:style>
  <w:style w:type="paragraph" w:styleId="Title">
    <w:name w:val="Title"/>
    <w:basedOn w:val="Normal"/>
    <w:qFormat/>
    <w:pPr>
      <w:jc w:val="center"/>
    </w:pPr>
    <w:rPr>
      <w:b/>
      <w:bCs/>
      <w:sz w:val="32"/>
    </w:rPr>
  </w:style>
  <w:style w:type="paragraph" w:styleId="Subtitle">
    <w:name w:val="Subtitle"/>
    <w:basedOn w:val="Normal"/>
    <w:qFormat/>
    <w:pPr>
      <w:jc w:val="center"/>
    </w:pPr>
    <w:rPr>
      <w:sz w:val="32"/>
    </w:rPr>
  </w:style>
  <w:style w:type="paragraph" w:styleId="BodyText">
    <w:name w:val="Body Text"/>
    <w:basedOn w:val="Normal"/>
    <w:rPr>
      <w:bCs/>
    </w:rPr>
  </w:style>
  <w:style w:type="paragraph" w:styleId="BodyText2">
    <w:name w:val="Body Text 2"/>
    <w:basedOn w:val="Normal"/>
    <w:rPr>
      <w:color w:val="FF0000"/>
    </w:rPr>
  </w:style>
  <w:style w:type="paragraph" w:styleId="BodyText3">
    <w:name w:val="Body Text 3"/>
    <w:basedOn w:val="Normal"/>
    <w:rPr>
      <w:color w:val="0000FF"/>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rFonts w:ascii="M Ionic" w:hAnsi="M Ionic" w:cs="M Ionic"/>
      <w:color w:val="000000"/>
      <w:sz w:val="24"/>
      <w:szCs w:val="24"/>
      <w:lang w:bidi="hi-IN"/>
    </w:rPr>
  </w:style>
  <w:style w:type="paragraph" w:customStyle="1" w:styleId="BodySingle">
    <w:name w:val="Body Single"/>
    <w:rPr>
      <w:rFonts w:ascii="TimesNewRomanPS" w:hAnsi="TimesNewRomanPS"/>
      <w:snapToGrid w:val="0"/>
      <w:color w:val="000000"/>
      <w:sz w:val="24"/>
    </w:rPr>
  </w:style>
  <w:style w:type="paragraph" w:styleId="CommentSubject">
    <w:name w:val="annotation subject"/>
    <w:basedOn w:val="CommentText"/>
    <w:next w:val="CommentText"/>
    <w:semiHidden/>
    <w:rPr>
      <w:b/>
      <w:bCs/>
    </w:rPr>
  </w:style>
  <w:style w:type="character" w:customStyle="1" w:styleId="Heading2Char">
    <w:name w:val="Heading 2 Char"/>
    <w:basedOn w:val="DefaultParagraphFont"/>
    <w:rPr>
      <w:b/>
      <w:bCs/>
      <w:sz w:val="24"/>
      <w:szCs w:val="24"/>
      <w:lang w:val="en-US" w:eastAsia="en-US" w:bidi="ar-SA"/>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5"/>
    <w:pPr>
      <w:numPr>
        <w:ilvl w:val="0"/>
        <w:numId w:val="0"/>
      </w:numPr>
    </w:pPr>
  </w:style>
  <w:style w:type="paragraph" w:customStyle="1" w:styleId="Style2">
    <w:name w:val="Style2"/>
    <w:basedOn w:val="Heading5"/>
    <w:pPr>
      <w:numPr>
        <w:ilvl w:val="0"/>
      </w:numPr>
    </w:pPr>
  </w:style>
  <w:style w:type="paragraph" w:styleId="Caption">
    <w:name w:val="caption"/>
    <w:basedOn w:val="Normal"/>
    <w:next w:val="Normal"/>
    <w:qFormat/>
    <w:pPr>
      <w:keepNext/>
      <w:spacing w:line="480" w:lineRule="auto"/>
      <w:jc w:val="center"/>
    </w:pPr>
    <w:rPr>
      <w:rFonts w:ascii="Times New Roman Bold" w:hAnsi="Times New Roman Bold"/>
      <w:b/>
      <w:bCs/>
      <w:szCs w:val="20"/>
    </w:rPr>
  </w:style>
  <w:style w:type="paragraph" w:styleId="TableofFigures">
    <w:name w:val="table of figures"/>
    <w:basedOn w:val="Normal"/>
    <w:next w:val="Normal"/>
    <w:semiHidden/>
    <w:pPr>
      <w:tabs>
        <w:tab w:val="left" w:pos="1440"/>
        <w:tab w:val="right" w:leader="dot" w:pos="9346"/>
      </w:tabs>
      <w:ind w:left="480" w:hanging="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0F4"/>
    <w:rPr>
      <w:sz w:val="24"/>
      <w:szCs w:val="24"/>
    </w:rPr>
  </w:style>
  <w:style w:type="paragraph" w:styleId="Heading1">
    <w:name w:val="heading 1"/>
    <w:basedOn w:val="Normal"/>
    <w:next w:val="Normal"/>
    <w:qFormat/>
    <w:pPr>
      <w:keepNext/>
      <w:tabs>
        <w:tab w:val="left" w:pos="720"/>
      </w:tabs>
      <w:jc w:val="center"/>
      <w:outlineLvl w:val="0"/>
    </w:pPr>
    <w:rPr>
      <w:rFonts w:ascii="Times New Roman Bold" w:hAnsi="Times New Roman Bold"/>
      <w:b/>
    </w:rPr>
  </w:style>
  <w:style w:type="paragraph" w:styleId="Heading2">
    <w:name w:val="heading 2"/>
    <w:basedOn w:val="Normal"/>
    <w:next w:val="Normal"/>
    <w:qFormat/>
    <w:pPr>
      <w:keepNext/>
      <w:numPr>
        <w:ilvl w:val="1"/>
        <w:numId w:val="3"/>
      </w:numPr>
      <w:spacing w:after="240"/>
      <w:outlineLvl w:val="1"/>
    </w:pPr>
    <w:rPr>
      <w:b/>
      <w:bCs/>
    </w:rPr>
  </w:style>
  <w:style w:type="paragraph" w:styleId="Heading3">
    <w:name w:val="heading 3"/>
    <w:basedOn w:val="Normal"/>
    <w:next w:val="Normal"/>
    <w:qFormat/>
    <w:pPr>
      <w:keepNext/>
      <w:numPr>
        <w:ilvl w:val="2"/>
        <w:numId w:val="3"/>
      </w:numPr>
      <w:spacing w:after="100" w:afterAutospacing="1"/>
      <w:outlineLvl w:val="2"/>
    </w:pPr>
    <w:rPr>
      <w:rFonts w:cs="Arial"/>
      <w:b/>
      <w:bCs/>
      <w:szCs w:val="26"/>
    </w:rPr>
  </w:style>
  <w:style w:type="paragraph" w:styleId="Heading4">
    <w:name w:val="heading 4"/>
    <w:basedOn w:val="Normal"/>
    <w:next w:val="Normal"/>
    <w:autoRedefine/>
    <w:qFormat/>
    <w:pPr>
      <w:keepNext/>
      <w:numPr>
        <w:numId w:val="4"/>
      </w:numPr>
      <w:tabs>
        <w:tab w:val="clear" w:pos="1080"/>
        <w:tab w:val="left" w:pos="1440"/>
      </w:tabs>
      <w:spacing w:after="100" w:afterAutospacing="1"/>
      <w:outlineLvl w:val="3"/>
    </w:pPr>
    <w:rPr>
      <w:rFonts w:ascii="Times New Roman Bold" w:hAnsi="Times New Roman Bold"/>
      <w:b/>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keepNext/>
      <w:numPr>
        <w:ilvl w:val="7"/>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rFonts w:ascii="Bookman Old Style" w:hAnsi="Bookman Old Style"/>
      <w:b/>
      <w:sz w:val="32"/>
      <w:szCs w:val="20"/>
    </w:rPr>
  </w:style>
  <w:style w:type="paragraph" w:styleId="Heading9">
    <w:name w:val="heading 9"/>
    <w:basedOn w:val="Normal"/>
    <w:next w:val="Normal"/>
    <w:qFormat/>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tabs>
        <w:tab w:val="left" w:pos="720"/>
        <w:tab w:val="right" w:leader="dot" w:pos="9350"/>
      </w:tabs>
      <w:spacing w:before="100" w:beforeAutospacing="1" w:after="100" w:afterAutospacing="1"/>
    </w:pPr>
    <w:rPr>
      <w:b/>
      <w:noProof/>
      <w:szCs w:val="22"/>
    </w:rPr>
  </w:style>
  <w:style w:type="paragraph" w:styleId="TOC2">
    <w:name w:val="toc 2"/>
    <w:basedOn w:val="Normal"/>
    <w:next w:val="Normal"/>
    <w:autoRedefine/>
    <w:semiHidden/>
    <w:pPr>
      <w:keepNext/>
      <w:tabs>
        <w:tab w:val="left" w:pos="720"/>
        <w:tab w:val="right" w:leader="dot" w:pos="9350"/>
      </w:tabs>
      <w:spacing w:before="100" w:beforeAutospacing="1"/>
      <w:jc w:val="center"/>
    </w:pPr>
    <w:rPr>
      <w:b/>
      <w:bCs/>
    </w:rPr>
  </w:style>
  <w:style w:type="paragraph" w:styleId="TOC3">
    <w:name w:val="toc 3"/>
    <w:basedOn w:val="Normal"/>
    <w:next w:val="Normal"/>
    <w:autoRedefine/>
    <w:semiHidden/>
    <w:pPr>
      <w:tabs>
        <w:tab w:val="left" w:pos="720"/>
        <w:tab w:val="right" w:leader="dot" w:pos="9346"/>
      </w:tabs>
      <w:ind w:left="720"/>
    </w:pPr>
    <w:rPr>
      <w:noProof/>
    </w:rPr>
  </w:style>
  <w:style w:type="paragraph" w:styleId="TOC4">
    <w:name w:val="toc 4"/>
    <w:basedOn w:val="Normal"/>
    <w:next w:val="Normal"/>
    <w:autoRedefine/>
    <w:semiHidden/>
    <w:pPr>
      <w:tabs>
        <w:tab w:val="left" w:pos="1847"/>
        <w:tab w:val="left" w:pos="2160"/>
        <w:tab w:val="right" w:leader="dot" w:pos="9346"/>
      </w:tabs>
      <w:ind w:left="1440"/>
    </w:pPr>
    <w:rPr>
      <w:noProof/>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7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BodyTextIndent">
    <w:name w:val="Body Text Indent"/>
    <w:basedOn w:val="Normal"/>
    <w:pPr>
      <w:ind w:left="1080"/>
    </w:pPr>
  </w:style>
  <w:style w:type="paragraph" w:styleId="BodyTextIndent2">
    <w:name w:val="Body Text Indent 2"/>
    <w:basedOn w:val="Normal"/>
    <w:pPr>
      <w:ind w:left="1440"/>
    </w:pPr>
  </w:style>
  <w:style w:type="paragraph" w:styleId="BodyTextIndent3">
    <w:name w:val="Body Text Indent 3"/>
    <w:basedOn w:val="Normal"/>
    <w:pPr>
      <w:ind w:left="2160"/>
    </w:pPr>
  </w:style>
  <w:style w:type="paragraph" w:styleId="Title">
    <w:name w:val="Title"/>
    <w:basedOn w:val="Normal"/>
    <w:qFormat/>
    <w:pPr>
      <w:jc w:val="center"/>
    </w:pPr>
    <w:rPr>
      <w:b/>
      <w:bCs/>
      <w:sz w:val="32"/>
    </w:rPr>
  </w:style>
  <w:style w:type="paragraph" w:styleId="Subtitle">
    <w:name w:val="Subtitle"/>
    <w:basedOn w:val="Normal"/>
    <w:qFormat/>
    <w:pPr>
      <w:jc w:val="center"/>
    </w:pPr>
    <w:rPr>
      <w:sz w:val="32"/>
    </w:rPr>
  </w:style>
  <w:style w:type="paragraph" w:styleId="BodyText">
    <w:name w:val="Body Text"/>
    <w:basedOn w:val="Normal"/>
    <w:rPr>
      <w:bCs/>
    </w:rPr>
  </w:style>
  <w:style w:type="paragraph" w:styleId="BodyText2">
    <w:name w:val="Body Text 2"/>
    <w:basedOn w:val="Normal"/>
    <w:rPr>
      <w:color w:val="FF0000"/>
    </w:rPr>
  </w:style>
  <w:style w:type="paragraph" w:styleId="BodyText3">
    <w:name w:val="Body Text 3"/>
    <w:basedOn w:val="Normal"/>
    <w:rPr>
      <w:color w:val="0000FF"/>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rFonts w:ascii="M Ionic" w:hAnsi="M Ionic" w:cs="M Ionic"/>
      <w:color w:val="000000"/>
      <w:sz w:val="24"/>
      <w:szCs w:val="24"/>
      <w:lang w:bidi="hi-IN"/>
    </w:rPr>
  </w:style>
  <w:style w:type="paragraph" w:customStyle="1" w:styleId="BodySingle">
    <w:name w:val="Body Single"/>
    <w:rPr>
      <w:rFonts w:ascii="TimesNewRomanPS" w:hAnsi="TimesNewRomanPS"/>
      <w:snapToGrid w:val="0"/>
      <w:color w:val="000000"/>
      <w:sz w:val="24"/>
    </w:rPr>
  </w:style>
  <w:style w:type="paragraph" w:styleId="CommentSubject">
    <w:name w:val="annotation subject"/>
    <w:basedOn w:val="CommentText"/>
    <w:next w:val="CommentText"/>
    <w:semiHidden/>
    <w:rPr>
      <w:b/>
      <w:bCs/>
    </w:rPr>
  </w:style>
  <w:style w:type="character" w:customStyle="1" w:styleId="Heading2Char">
    <w:name w:val="Heading 2 Char"/>
    <w:basedOn w:val="DefaultParagraphFont"/>
    <w:rPr>
      <w:b/>
      <w:bCs/>
      <w:sz w:val="24"/>
      <w:szCs w:val="24"/>
      <w:lang w:val="en-US" w:eastAsia="en-US" w:bidi="ar-SA"/>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5"/>
    <w:pPr>
      <w:numPr>
        <w:ilvl w:val="0"/>
        <w:numId w:val="0"/>
      </w:numPr>
    </w:pPr>
  </w:style>
  <w:style w:type="paragraph" w:customStyle="1" w:styleId="Style2">
    <w:name w:val="Style2"/>
    <w:basedOn w:val="Heading5"/>
    <w:pPr>
      <w:numPr>
        <w:ilvl w:val="0"/>
      </w:numPr>
    </w:pPr>
  </w:style>
  <w:style w:type="paragraph" w:styleId="Caption">
    <w:name w:val="caption"/>
    <w:basedOn w:val="Normal"/>
    <w:next w:val="Normal"/>
    <w:qFormat/>
    <w:pPr>
      <w:keepNext/>
      <w:spacing w:line="480" w:lineRule="auto"/>
      <w:jc w:val="center"/>
    </w:pPr>
    <w:rPr>
      <w:rFonts w:ascii="Times New Roman Bold" w:hAnsi="Times New Roman Bold"/>
      <w:b/>
      <w:bCs/>
      <w:szCs w:val="20"/>
    </w:rPr>
  </w:style>
  <w:style w:type="paragraph" w:styleId="TableofFigures">
    <w:name w:val="table of figures"/>
    <w:basedOn w:val="Normal"/>
    <w:next w:val="Normal"/>
    <w:semiHidden/>
    <w:pPr>
      <w:tabs>
        <w:tab w:val="left" w:pos="1440"/>
        <w:tab w:val="right" w:leader="dot" w:pos="9346"/>
      </w:tabs>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27543">
      <w:bodyDiv w:val="1"/>
      <w:marLeft w:val="0"/>
      <w:marRight w:val="0"/>
      <w:marTop w:val="0"/>
      <w:marBottom w:val="0"/>
      <w:divBdr>
        <w:top w:val="none" w:sz="0" w:space="0" w:color="auto"/>
        <w:left w:val="none" w:sz="0" w:space="0" w:color="auto"/>
        <w:bottom w:val="none" w:sz="0" w:space="0" w:color="auto"/>
        <w:right w:val="none" w:sz="0" w:space="0" w:color="auto"/>
      </w:divBdr>
    </w:div>
    <w:div w:id="1010789519">
      <w:bodyDiv w:val="1"/>
      <w:marLeft w:val="0"/>
      <w:marRight w:val="0"/>
      <w:marTop w:val="0"/>
      <w:marBottom w:val="0"/>
      <w:divBdr>
        <w:top w:val="none" w:sz="0" w:space="0" w:color="auto"/>
        <w:left w:val="none" w:sz="0" w:space="0" w:color="auto"/>
        <w:bottom w:val="none" w:sz="0" w:space="0" w:color="auto"/>
        <w:right w:val="none" w:sz="0" w:space="0" w:color="auto"/>
      </w:divBdr>
    </w:div>
    <w:div w:id="1637098892">
      <w:bodyDiv w:val="1"/>
      <w:marLeft w:val="0"/>
      <w:marRight w:val="0"/>
      <w:marTop w:val="0"/>
      <w:marBottom w:val="0"/>
      <w:divBdr>
        <w:top w:val="none" w:sz="0" w:space="0" w:color="auto"/>
        <w:left w:val="none" w:sz="0" w:space="0" w:color="auto"/>
        <w:bottom w:val="none" w:sz="0" w:space="0" w:color="auto"/>
        <w:right w:val="none" w:sz="0" w:space="0" w:color="auto"/>
      </w:divBdr>
    </w:div>
    <w:div w:id="1720204240">
      <w:bodyDiv w:val="1"/>
      <w:marLeft w:val="0"/>
      <w:marRight w:val="0"/>
      <w:marTop w:val="0"/>
      <w:marBottom w:val="0"/>
      <w:divBdr>
        <w:top w:val="none" w:sz="0" w:space="0" w:color="auto"/>
        <w:left w:val="none" w:sz="0" w:space="0" w:color="auto"/>
        <w:bottom w:val="none" w:sz="0" w:space="0" w:color="auto"/>
        <w:right w:val="none" w:sz="0" w:space="0" w:color="auto"/>
      </w:divBdr>
    </w:div>
    <w:div w:id="19748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12482</Words>
  <Characters>71148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NCTD Spot Report #11</vt:lpstr>
    </vt:vector>
  </TitlesOfParts>
  <Manager>Mantych</Manager>
  <Company>Jacobs</Company>
  <LinksUpToDate>false</LinksUpToDate>
  <CharactersWithSpaces>83464</CharactersWithSpaces>
  <SharedDoc>false</SharedDoc>
  <HLinks>
    <vt:vector size="264" baseType="variant">
      <vt:variant>
        <vt:i4>1638454</vt:i4>
      </vt:variant>
      <vt:variant>
        <vt:i4>266</vt:i4>
      </vt:variant>
      <vt:variant>
        <vt:i4>0</vt:i4>
      </vt:variant>
      <vt:variant>
        <vt:i4>5</vt:i4>
      </vt:variant>
      <vt:variant>
        <vt:lpwstr/>
      </vt:variant>
      <vt:variant>
        <vt:lpwstr>_Toc186615056</vt:lpwstr>
      </vt:variant>
      <vt:variant>
        <vt:i4>1638454</vt:i4>
      </vt:variant>
      <vt:variant>
        <vt:i4>257</vt:i4>
      </vt:variant>
      <vt:variant>
        <vt:i4>0</vt:i4>
      </vt:variant>
      <vt:variant>
        <vt:i4>5</vt:i4>
      </vt:variant>
      <vt:variant>
        <vt:lpwstr/>
      </vt:variant>
      <vt:variant>
        <vt:lpwstr>_Toc186615055</vt:lpwstr>
      </vt:variant>
      <vt:variant>
        <vt:i4>1638454</vt:i4>
      </vt:variant>
      <vt:variant>
        <vt:i4>251</vt:i4>
      </vt:variant>
      <vt:variant>
        <vt:i4>0</vt:i4>
      </vt:variant>
      <vt:variant>
        <vt:i4>5</vt:i4>
      </vt:variant>
      <vt:variant>
        <vt:lpwstr/>
      </vt:variant>
      <vt:variant>
        <vt:lpwstr>_Toc186615054</vt:lpwstr>
      </vt:variant>
      <vt:variant>
        <vt:i4>1638454</vt:i4>
      </vt:variant>
      <vt:variant>
        <vt:i4>245</vt:i4>
      </vt:variant>
      <vt:variant>
        <vt:i4>0</vt:i4>
      </vt:variant>
      <vt:variant>
        <vt:i4>5</vt:i4>
      </vt:variant>
      <vt:variant>
        <vt:lpwstr/>
      </vt:variant>
      <vt:variant>
        <vt:lpwstr>_Toc186615053</vt:lpwstr>
      </vt:variant>
      <vt:variant>
        <vt:i4>1638454</vt:i4>
      </vt:variant>
      <vt:variant>
        <vt:i4>239</vt:i4>
      </vt:variant>
      <vt:variant>
        <vt:i4>0</vt:i4>
      </vt:variant>
      <vt:variant>
        <vt:i4>5</vt:i4>
      </vt:variant>
      <vt:variant>
        <vt:lpwstr/>
      </vt:variant>
      <vt:variant>
        <vt:lpwstr>_Toc186615052</vt:lpwstr>
      </vt:variant>
      <vt:variant>
        <vt:i4>1638454</vt:i4>
      </vt:variant>
      <vt:variant>
        <vt:i4>233</vt:i4>
      </vt:variant>
      <vt:variant>
        <vt:i4>0</vt:i4>
      </vt:variant>
      <vt:variant>
        <vt:i4>5</vt:i4>
      </vt:variant>
      <vt:variant>
        <vt:lpwstr/>
      </vt:variant>
      <vt:variant>
        <vt:lpwstr>_Toc186615051</vt:lpwstr>
      </vt:variant>
      <vt:variant>
        <vt:i4>1638454</vt:i4>
      </vt:variant>
      <vt:variant>
        <vt:i4>227</vt:i4>
      </vt:variant>
      <vt:variant>
        <vt:i4>0</vt:i4>
      </vt:variant>
      <vt:variant>
        <vt:i4>5</vt:i4>
      </vt:variant>
      <vt:variant>
        <vt:lpwstr/>
      </vt:variant>
      <vt:variant>
        <vt:lpwstr>_Toc186615050</vt:lpwstr>
      </vt:variant>
      <vt:variant>
        <vt:i4>1572918</vt:i4>
      </vt:variant>
      <vt:variant>
        <vt:i4>218</vt:i4>
      </vt:variant>
      <vt:variant>
        <vt:i4>0</vt:i4>
      </vt:variant>
      <vt:variant>
        <vt:i4>5</vt:i4>
      </vt:variant>
      <vt:variant>
        <vt:lpwstr/>
      </vt:variant>
      <vt:variant>
        <vt:lpwstr>_Toc186615049</vt:lpwstr>
      </vt:variant>
      <vt:variant>
        <vt:i4>1572918</vt:i4>
      </vt:variant>
      <vt:variant>
        <vt:i4>212</vt:i4>
      </vt:variant>
      <vt:variant>
        <vt:i4>0</vt:i4>
      </vt:variant>
      <vt:variant>
        <vt:i4>5</vt:i4>
      </vt:variant>
      <vt:variant>
        <vt:lpwstr/>
      </vt:variant>
      <vt:variant>
        <vt:lpwstr>_Toc186615048</vt:lpwstr>
      </vt:variant>
      <vt:variant>
        <vt:i4>1572918</vt:i4>
      </vt:variant>
      <vt:variant>
        <vt:i4>206</vt:i4>
      </vt:variant>
      <vt:variant>
        <vt:i4>0</vt:i4>
      </vt:variant>
      <vt:variant>
        <vt:i4>5</vt:i4>
      </vt:variant>
      <vt:variant>
        <vt:lpwstr/>
      </vt:variant>
      <vt:variant>
        <vt:lpwstr>_Toc186615047</vt:lpwstr>
      </vt:variant>
      <vt:variant>
        <vt:i4>1572918</vt:i4>
      </vt:variant>
      <vt:variant>
        <vt:i4>200</vt:i4>
      </vt:variant>
      <vt:variant>
        <vt:i4>0</vt:i4>
      </vt:variant>
      <vt:variant>
        <vt:i4>5</vt:i4>
      </vt:variant>
      <vt:variant>
        <vt:lpwstr/>
      </vt:variant>
      <vt:variant>
        <vt:lpwstr>_Toc186615046</vt:lpwstr>
      </vt:variant>
      <vt:variant>
        <vt:i4>1572918</vt:i4>
      </vt:variant>
      <vt:variant>
        <vt:i4>194</vt:i4>
      </vt:variant>
      <vt:variant>
        <vt:i4>0</vt:i4>
      </vt:variant>
      <vt:variant>
        <vt:i4>5</vt:i4>
      </vt:variant>
      <vt:variant>
        <vt:lpwstr/>
      </vt:variant>
      <vt:variant>
        <vt:lpwstr>_Toc186615045</vt:lpwstr>
      </vt:variant>
      <vt:variant>
        <vt:i4>1572918</vt:i4>
      </vt:variant>
      <vt:variant>
        <vt:i4>188</vt:i4>
      </vt:variant>
      <vt:variant>
        <vt:i4>0</vt:i4>
      </vt:variant>
      <vt:variant>
        <vt:i4>5</vt:i4>
      </vt:variant>
      <vt:variant>
        <vt:lpwstr/>
      </vt:variant>
      <vt:variant>
        <vt:lpwstr>_Toc186615044</vt:lpwstr>
      </vt:variant>
      <vt:variant>
        <vt:i4>1572918</vt:i4>
      </vt:variant>
      <vt:variant>
        <vt:i4>182</vt:i4>
      </vt:variant>
      <vt:variant>
        <vt:i4>0</vt:i4>
      </vt:variant>
      <vt:variant>
        <vt:i4>5</vt:i4>
      </vt:variant>
      <vt:variant>
        <vt:lpwstr/>
      </vt:variant>
      <vt:variant>
        <vt:lpwstr>_Toc186615043</vt:lpwstr>
      </vt:variant>
      <vt:variant>
        <vt:i4>1572918</vt:i4>
      </vt:variant>
      <vt:variant>
        <vt:i4>176</vt:i4>
      </vt:variant>
      <vt:variant>
        <vt:i4>0</vt:i4>
      </vt:variant>
      <vt:variant>
        <vt:i4>5</vt:i4>
      </vt:variant>
      <vt:variant>
        <vt:lpwstr/>
      </vt:variant>
      <vt:variant>
        <vt:lpwstr>_Toc186615042</vt:lpwstr>
      </vt:variant>
      <vt:variant>
        <vt:i4>1572918</vt:i4>
      </vt:variant>
      <vt:variant>
        <vt:i4>170</vt:i4>
      </vt:variant>
      <vt:variant>
        <vt:i4>0</vt:i4>
      </vt:variant>
      <vt:variant>
        <vt:i4>5</vt:i4>
      </vt:variant>
      <vt:variant>
        <vt:lpwstr/>
      </vt:variant>
      <vt:variant>
        <vt:lpwstr>_Toc186615041</vt:lpwstr>
      </vt:variant>
      <vt:variant>
        <vt:i4>1572918</vt:i4>
      </vt:variant>
      <vt:variant>
        <vt:i4>164</vt:i4>
      </vt:variant>
      <vt:variant>
        <vt:i4>0</vt:i4>
      </vt:variant>
      <vt:variant>
        <vt:i4>5</vt:i4>
      </vt:variant>
      <vt:variant>
        <vt:lpwstr/>
      </vt:variant>
      <vt:variant>
        <vt:lpwstr>_Toc186615040</vt:lpwstr>
      </vt:variant>
      <vt:variant>
        <vt:i4>2031670</vt:i4>
      </vt:variant>
      <vt:variant>
        <vt:i4>158</vt:i4>
      </vt:variant>
      <vt:variant>
        <vt:i4>0</vt:i4>
      </vt:variant>
      <vt:variant>
        <vt:i4>5</vt:i4>
      </vt:variant>
      <vt:variant>
        <vt:lpwstr/>
      </vt:variant>
      <vt:variant>
        <vt:lpwstr>_Toc186615039</vt:lpwstr>
      </vt:variant>
      <vt:variant>
        <vt:i4>2031670</vt:i4>
      </vt:variant>
      <vt:variant>
        <vt:i4>152</vt:i4>
      </vt:variant>
      <vt:variant>
        <vt:i4>0</vt:i4>
      </vt:variant>
      <vt:variant>
        <vt:i4>5</vt:i4>
      </vt:variant>
      <vt:variant>
        <vt:lpwstr/>
      </vt:variant>
      <vt:variant>
        <vt:lpwstr>_Toc186615038</vt:lpwstr>
      </vt:variant>
      <vt:variant>
        <vt:i4>2031670</vt:i4>
      </vt:variant>
      <vt:variant>
        <vt:i4>146</vt:i4>
      </vt:variant>
      <vt:variant>
        <vt:i4>0</vt:i4>
      </vt:variant>
      <vt:variant>
        <vt:i4>5</vt:i4>
      </vt:variant>
      <vt:variant>
        <vt:lpwstr/>
      </vt:variant>
      <vt:variant>
        <vt:lpwstr>_Toc186615037</vt:lpwstr>
      </vt:variant>
      <vt:variant>
        <vt:i4>2031670</vt:i4>
      </vt:variant>
      <vt:variant>
        <vt:i4>140</vt:i4>
      </vt:variant>
      <vt:variant>
        <vt:i4>0</vt:i4>
      </vt:variant>
      <vt:variant>
        <vt:i4>5</vt:i4>
      </vt:variant>
      <vt:variant>
        <vt:lpwstr/>
      </vt:variant>
      <vt:variant>
        <vt:lpwstr>_Toc186615036</vt:lpwstr>
      </vt:variant>
      <vt:variant>
        <vt:i4>2031670</vt:i4>
      </vt:variant>
      <vt:variant>
        <vt:i4>134</vt:i4>
      </vt:variant>
      <vt:variant>
        <vt:i4>0</vt:i4>
      </vt:variant>
      <vt:variant>
        <vt:i4>5</vt:i4>
      </vt:variant>
      <vt:variant>
        <vt:lpwstr/>
      </vt:variant>
      <vt:variant>
        <vt:lpwstr>_Toc186615035</vt:lpwstr>
      </vt:variant>
      <vt:variant>
        <vt:i4>2031670</vt:i4>
      </vt:variant>
      <vt:variant>
        <vt:i4>128</vt:i4>
      </vt:variant>
      <vt:variant>
        <vt:i4>0</vt:i4>
      </vt:variant>
      <vt:variant>
        <vt:i4>5</vt:i4>
      </vt:variant>
      <vt:variant>
        <vt:lpwstr/>
      </vt:variant>
      <vt:variant>
        <vt:lpwstr>_Toc186615034</vt:lpwstr>
      </vt:variant>
      <vt:variant>
        <vt:i4>2031670</vt:i4>
      </vt:variant>
      <vt:variant>
        <vt:i4>122</vt:i4>
      </vt:variant>
      <vt:variant>
        <vt:i4>0</vt:i4>
      </vt:variant>
      <vt:variant>
        <vt:i4>5</vt:i4>
      </vt:variant>
      <vt:variant>
        <vt:lpwstr/>
      </vt:variant>
      <vt:variant>
        <vt:lpwstr>_Toc186615033</vt:lpwstr>
      </vt:variant>
      <vt:variant>
        <vt:i4>2031670</vt:i4>
      </vt:variant>
      <vt:variant>
        <vt:i4>116</vt:i4>
      </vt:variant>
      <vt:variant>
        <vt:i4>0</vt:i4>
      </vt:variant>
      <vt:variant>
        <vt:i4>5</vt:i4>
      </vt:variant>
      <vt:variant>
        <vt:lpwstr/>
      </vt:variant>
      <vt:variant>
        <vt:lpwstr>_Toc186615032</vt:lpwstr>
      </vt:variant>
      <vt:variant>
        <vt:i4>2031670</vt:i4>
      </vt:variant>
      <vt:variant>
        <vt:i4>110</vt:i4>
      </vt:variant>
      <vt:variant>
        <vt:i4>0</vt:i4>
      </vt:variant>
      <vt:variant>
        <vt:i4>5</vt:i4>
      </vt:variant>
      <vt:variant>
        <vt:lpwstr/>
      </vt:variant>
      <vt:variant>
        <vt:lpwstr>_Toc186615031</vt:lpwstr>
      </vt:variant>
      <vt:variant>
        <vt:i4>2031670</vt:i4>
      </vt:variant>
      <vt:variant>
        <vt:i4>104</vt:i4>
      </vt:variant>
      <vt:variant>
        <vt:i4>0</vt:i4>
      </vt:variant>
      <vt:variant>
        <vt:i4>5</vt:i4>
      </vt:variant>
      <vt:variant>
        <vt:lpwstr/>
      </vt:variant>
      <vt:variant>
        <vt:lpwstr>_Toc186615030</vt:lpwstr>
      </vt:variant>
      <vt:variant>
        <vt:i4>1966134</vt:i4>
      </vt:variant>
      <vt:variant>
        <vt:i4>98</vt:i4>
      </vt:variant>
      <vt:variant>
        <vt:i4>0</vt:i4>
      </vt:variant>
      <vt:variant>
        <vt:i4>5</vt:i4>
      </vt:variant>
      <vt:variant>
        <vt:lpwstr/>
      </vt:variant>
      <vt:variant>
        <vt:lpwstr>_Toc186615029</vt:lpwstr>
      </vt:variant>
      <vt:variant>
        <vt:i4>1966134</vt:i4>
      </vt:variant>
      <vt:variant>
        <vt:i4>92</vt:i4>
      </vt:variant>
      <vt:variant>
        <vt:i4>0</vt:i4>
      </vt:variant>
      <vt:variant>
        <vt:i4>5</vt:i4>
      </vt:variant>
      <vt:variant>
        <vt:lpwstr/>
      </vt:variant>
      <vt:variant>
        <vt:lpwstr>_Toc186615028</vt:lpwstr>
      </vt:variant>
      <vt:variant>
        <vt:i4>1966134</vt:i4>
      </vt:variant>
      <vt:variant>
        <vt:i4>86</vt:i4>
      </vt:variant>
      <vt:variant>
        <vt:i4>0</vt:i4>
      </vt:variant>
      <vt:variant>
        <vt:i4>5</vt:i4>
      </vt:variant>
      <vt:variant>
        <vt:lpwstr/>
      </vt:variant>
      <vt:variant>
        <vt:lpwstr>_Toc186615027</vt:lpwstr>
      </vt:variant>
      <vt:variant>
        <vt:i4>1966134</vt:i4>
      </vt:variant>
      <vt:variant>
        <vt:i4>80</vt:i4>
      </vt:variant>
      <vt:variant>
        <vt:i4>0</vt:i4>
      </vt:variant>
      <vt:variant>
        <vt:i4>5</vt:i4>
      </vt:variant>
      <vt:variant>
        <vt:lpwstr/>
      </vt:variant>
      <vt:variant>
        <vt:lpwstr>_Toc186615026</vt:lpwstr>
      </vt:variant>
      <vt:variant>
        <vt:i4>1966134</vt:i4>
      </vt:variant>
      <vt:variant>
        <vt:i4>74</vt:i4>
      </vt:variant>
      <vt:variant>
        <vt:i4>0</vt:i4>
      </vt:variant>
      <vt:variant>
        <vt:i4>5</vt:i4>
      </vt:variant>
      <vt:variant>
        <vt:lpwstr/>
      </vt:variant>
      <vt:variant>
        <vt:lpwstr>_Toc186615025</vt:lpwstr>
      </vt:variant>
      <vt:variant>
        <vt:i4>1966134</vt:i4>
      </vt:variant>
      <vt:variant>
        <vt:i4>68</vt:i4>
      </vt:variant>
      <vt:variant>
        <vt:i4>0</vt:i4>
      </vt:variant>
      <vt:variant>
        <vt:i4>5</vt:i4>
      </vt:variant>
      <vt:variant>
        <vt:lpwstr/>
      </vt:variant>
      <vt:variant>
        <vt:lpwstr>_Toc186615024</vt:lpwstr>
      </vt:variant>
      <vt:variant>
        <vt:i4>1966134</vt:i4>
      </vt:variant>
      <vt:variant>
        <vt:i4>62</vt:i4>
      </vt:variant>
      <vt:variant>
        <vt:i4>0</vt:i4>
      </vt:variant>
      <vt:variant>
        <vt:i4>5</vt:i4>
      </vt:variant>
      <vt:variant>
        <vt:lpwstr/>
      </vt:variant>
      <vt:variant>
        <vt:lpwstr>_Toc186615023</vt:lpwstr>
      </vt:variant>
      <vt:variant>
        <vt:i4>1966134</vt:i4>
      </vt:variant>
      <vt:variant>
        <vt:i4>56</vt:i4>
      </vt:variant>
      <vt:variant>
        <vt:i4>0</vt:i4>
      </vt:variant>
      <vt:variant>
        <vt:i4>5</vt:i4>
      </vt:variant>
      <vt:variant>
        <vt:lpwstr/>
      </vt:variant>
      <vt:variant>
        <vt:lpwstr>_Toc186615022</vt:lpwstr>
      </vt:variant>
      <vt:variant>
        <vt:i4>1966134</vt:i4>
      </vt:variant>
      <vt:variant>
        <vt:i4>50</vt:i4>
      </vt:variant>
      <vt:variant>
        <vt:i4>0</vt:i4>
      </vt:variant>
      <vt:variant>
        <vt:i4>5</vt:i4>
      </vt:variant>
      <vt:variant>
        <vt:lpwstr/>
      </vt:variant>
      <vt:variant>
        <vt:lpwstr>_Toc186615021</vt:lpwstr>
      </vt:variant>
      <vt:variant>
        <vt:i4>1966134</vt:i4>
      </vt:variant>
      <vt:variant>
        <vt:i4>44</vt:i4>
      </vt:variant>
      <vt:variant>
        <vt:i4>0</vt:i4>
      </vt:variant>
      <vt:variant>
        <vt:i4>5</vt:i4>
      </vt:variant>
      <vt:variant>
        <vt:lpwstr/>
      </vt:variant>
      <vt:variant>
        <vt:lpwstr>_Toc186615020</vt:lpwstr>
      </vt:variant>
      <vt:variant>
        <vt:i4>1900598</vt:i4>
      </vt:variant>
      <vt:variant>
        <vt:i4>38</vt:i4>
      </vt:variant>
      <vt:variant>
        <vt:i4>0</vt:i4>
      </vt:variant>
      <vt:variant>
        <vt:i4>5</vt:i4>
      </vt:variant>
      <vt:variant>
        <vt:lpwstr/>
      </vt:variant>
      <vt:variant>
        <vt:lpwstr>_Toc186615019</vt:lpwstr>
      </vt:variant>
      <vt:variant>
        <vt:i4>1900598</vt:i4>
      </vt:variant>
      <vt:variant>
        <vt:i4>32</vt:i4>
      </vt:variant>
      <vt:variant>
        <vt:i4>0</vt:i4>
      </vt:variant>
      <vt:variant>
        <vt:i4>5</vt:i4>
      </vt:variant>
      <vt:variant>
        <vt:lpwstr/>
      </vt:variant>
      <vt:variant>
        <vt:lpwstr>_Toc186615018</vt:lpwstr>
      </vt:variant>
      <vt:variant>
        <vt:i4>1900598</vt:i4>
      </vt:variant>
      <vt:variant>
        <vt:i4>26</vt:i4>
      </vt:variant>
      <vt:variant>
        <vt:i4>0</vt:i4>
      </vt:variant>
      <vt:variant>
        <vt:i4>5</vt:i4>
      </vt:variant>
      <vt:variant>
        <vt:lpwstr/>
      </vt:variant>
      <vt:variant>
        <vt:lpwstr>_Toc186615017</vt:lpwstr>
      </vt:variant>
      <vt:variant>
        <vt:i4>1900598</vt:i4>
      </vt:variant>
      <vt:variant>
        <vt:i4>20</vt:i4>
      </vt:variant>
      <vt:variant>
        <vt:i4>0</vt:i4>
      </vt:variant>
      <vt:variant>
        <vt:i4>5</vt:i4>
      </vt:variant>
      <vt:variant>
        <vt:lpwstr/>
      </vt:variant>
      <vt:variant>
        <vt:lpwstr>_Toc186615016</vt:lpwstr>
      </vt:variant>
      <vt:variant>
        <vt:i4>1900598</vt:i4>
      </vt:variant>
      <vt:variant>
        <vt:i4>14</vt:i4>
      </vt:variant>
      <vt:variant>
        <vt:i4>0</vt:i4>
      </vt:variant>
      <vt:variant>
        <vt:i4>5</vt:i4>
      </vt:variant>
      <vt:variant>
        <vt:lpwstr/>
      </vt:variant>
      <vt:variant>
        <vt:lpwstr>_Toc186615015</vt:lpwstr>
      </vt:variant>
      <vt:variant>
        <vt:i4>1900598</vt:i4>
      </vt:variant>
      <vt:variant>
        <vt:i4>8</vt:i4>
      </vt:variant>
      <vt:variant>
        <vt:i4>0</vt:i4>
      </vt:variant>
      <vt:variant>
        <vt:i4>5</vt:i4>
      </vt:variant>
      <vt:variant>
        <vt:lpwstr/>
      </vt:variant>
      <vt:variant>
        <vt:lpwstr>_Toc186615014</vt:lpwstr>
      </vt:variant>
      <vt:variant>
        <vt:i4>1900598</vt:i4>
      </vt:variant>
      <vt:variant>
        <vt:i4>2</vt:i4>
      </vt:variant>
      <vt:variant>
        <vt:i4>0</vt:i4>
      </vt:variant>
      <vt:variant>
        <vt:i4>5</vt:i4>
      </vt:variant>
      <vt:variant>
        <vt:lpwstr/>
      </vt:variant>
      <vt:variant>
        <vt:lpwstr>_Toc186615013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NCTD Spot Report #11</dc:title>
  <dc:subject>FFGA Amendment</dc:subject>
  <dc:creator>Mantych</dc:creator>
  <cp:lastModifiedBy>SH</cp:lastModifiedBy>
  <cp:revision>2</cp:revision>
  <cp:lastPrinted>2014-04-10T15:00:00Z</cp:lastPrinted>
  <dcterms:created xsi:type="dcterms:W3CDTF">2014-08-28T18:25:00Z</dcterms:created>
  <dcterms:modified xsi:type="dcterms:W3CDTF">2014-08-28T18:25:00Z</dcterms:modified>
</cp:coreProperties>
</file>