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05E49"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1EADF86D" wp14:editId="132022E0">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7E3DEA4A" w14:textId="77777777" w:rsidR="004C660B" w:rsidRPr="002A2725" w:rsidRDefault="004C660B" w:rsidP="008A2453">
      <w:pPr>
        <w:pStyle w:val="Header"/>
      </w:pPr>
      <w:r w:rsidRPr="002A2725">
        <w:t>Office of Passenger and Freight Programs</w:t>
      </w:r>
    </w:p>
    <w:p w14:paraId="28520C93" w14:textId="77777777" w:rsidR="00AD7E8B" w:rsidRPr="002A2725" w:rsidRDefault="00AD7E8B" w:rsidP="008A2453">
      <w:pPr>
        <w:pStyle w:val="Header"/>
      </w:pPr>
    </w:p>
    <w:p w14:paraId="6EB92842" w14:textId="77777777" w:rsidR="004C660B" w:rsidRPr="002A2725" w:rsidRDefault="004C660B" w:rsidP="008A2453">
      <w:pPr>
        <w:pStyle w:val="Header"/>
      </w:pPr>
      <w:r w:rsidRPr="002A2725">
        <w:t xml:space="preserve">Monitoring Procedure </w:t>
      </w:r>
      <w:r w:rsidR="009451FC" w:rsidRPr="009451FC">
        <w:t>49 - Financial Plan Review</w:t>
      </w:r>
    </w:p>
    <w:p w14:paraId="504A6968" w14:textId="77777777" w:rsidR="00DD31C5" w:rsidRDefault="00DD31C5" w:rsidP="00AD7E8B">
      <w:pPr>
        <w:pBdr>
          <w:bottom w:val="single" w:sz="4" w:space="1" w:color="auto"/>
        </w:pBdr>
      </w:pPr>
    </w:p>
    <w:p w14:paraId="51BA972B" w14:textId="77777777" w:rsidR="009451FC" w:rsidRDefault="009451FC" w:rsidP="009451FC"/>
    <w:p w14:paraId="7E462508" w14:textId="3FFFBCD1" w:rsidR="009451FC" w:rsidRDefault="009451FC" w:rsidP="004532D8">
      <w:pPr>
        <w:pStyle w:val="Heading1"/>
        <w:spacing w:before="0" w:after="0"/>
      </w:pPr>
      <w:r>
        <w:t>PURPOSE</w:t>
      </w:r>
    </w:p>
    <w:p w14:paraId="14C7755E" w14:textId="77777777" w:rsidR="004532D8" w:rsidRPr="004532D8" w:rsidRDefault="004532D8" w:rsidP="004532D8"/>
    <w:p w14:paraId="1A442C89" w14:textId="2D2098B7" w:rsidR="00B272CA" w:rsidRDefault="00B272CA" w:rsidP="004532D8">
      <w:r w:rsidRPr="00B272CA">
        <w:t xml:space="preserve">This Monitoring Procedure (MP) describes FRA requirements for the Monitoring and Technical Assistance Contractor (MTAC) when evaluating </w:t>
      </w:r>
      <w:r w:rsidR="003C2EDF">
        <w:t>a</w:t>
      </w:r>
      <w:r w:rsidRPr="00B272CA">
        <w:t xml:space="preserve"> Grantee’s </w:t>
      </w:r>
      <w:r>
        <w:t>financial plan</w:t>
      </w:r>
      <w:r w:rsidR="00BC363D">
        <w:t xml:space="preserve">. </w:t>
      </w:r>
      <w:r w:rsidR="003C2EDF" w:rsidRPr="003C2EDF">
        <w:t xml:space="preserve">The </w:t>
      </w:r>
      <w:r w:rsidR="003C2EDF">
        <w:t xml:space="preserve">MTAC’s </w:t>
      </w:r>
      <w:r w:rsidR="003C2EDF" w:rsidRPr="003C2EDF">
        <w:t xml:space="preserve">evaluation will </w:t>
      </w:r>
      <w:r w:rsidR="003C2EDF">
        <w:t>inform</w:t>
      </w:r>
      <w:r w:rsidR="003C2EDF" w:rsidRPr="003C2EDF">
        <w:t xml:space="preserve"> FRA</w:t>
      </w:r>
      <w:r w:rsidR="003C2EDF">
        <w:t>’s</w:t>
      </w:r>
      <w:r w:rsidR="003C2EDF" w:rsidRPr="003C2EDF">
        <w:t xml:space="preserve"> decision</w:t>
      </w:r>
      <w:r w:rsidR="003C2EDF">
        <w:t>s regarding a</w:t>
      </w:r>
      <w:r w:rsidR="003C2EDF" w:rsidRPr="003C2EDF">
        <w:t xml:space="preserve"> Grantee’s readiness </w:t>
      </w:r>
      <w:r w:rsidR="003C2EDF">
        <w:t xml:space="preserve">to receive </w:t>
      </w:r>
      <w:r w:rsidR="003C2EDF" w:rsidRPr="003C2EDF">
        <w:t>Federal funds</w:t>
      </w:r>
      <w:r w:rsidR="00070381">
        <w:t xml:space="preserve"> for capital rail projects</w:t>
      </w:r>
      <w:r w:rsidR="003C2EDF" w:rsidRPr="003C2EDF">
        <w:t>.</w:t>
      </w:r>
    </w:p>
    <w:p w14:paraId="42EE5E7B" w14:textId="77777777" w:rsidR="004532D8" w:rsidRDefault="004532D8" w:rsidP="004532D8"/>
    <w:p w14:paraId="7B299CE9" w14:textId="77777777" w:rsidR="009451FC" w:rsidRDefault="009451FC" w:rsidP="004532D8">
      <w:pPr>
        <w:pStyle w:val="Heading1"/>
        <w:spacing w:before="0" w:after="0"/>
      </w:pPr>
      <w:r>
        <w:t>KEY PRINCIPLES</w:t>
      </w:r>
    </w:p>
    <w:p w14:paraId="4DAB6B86" w14:textId="77777777" w:rsidR="004532D8" w:rsidRPr="004532D8" w:rsidRDefault="004532D8" w:rsidP="004532D8"/>
    <w:p w14:paraId="2F97ED83" w14:textId="343B3752" w:rsidR="00F35926" w:rsidRDefault="009E72DF" w:rsidP="005379B4">
      <w:r>
        <w:t xml:space="preserve">The financial plan </w:t>
      </w:r>
      <w:r w:rsidR="005379B4">
        <w:t>timeframe is 5 + 20</w:t>
      </w:r>
      <w:r w:rsidR="00F35926">
        <w:t xml:space="preserve"> -- f</w:t>
      </w:r>
      <w:r w:rsidR="005379B4">
        <w:t xml:space="preserve">ive </w:t>
      </w:r>
      <w:r>
        <w:t>year</w:t>
      </w:r>
      <w:r w:rsidR="005379B4">
        <w:t xml:space="preserve">s of </w:t>
      </w:r>
      <w:r w:rsidR="006D0A25">
        <w:t xml:space="preserve">financial history </w:t>
      </w:r>
      <w:r w:rsidR="005379B4">
        <w:t>for</w:t>
      </w:r>
      <w:r w:rsidR="006D0A25">
        <w:t xml:space="preserve"> the </w:t>
      </w:r>
      <w:r w:rsidR="00070381">
        <w:t xml:space="preserve">Grantee’s transportation agency and </w:t>
      </w:r>
      <w:r w:rsidR="005379B4">
        <w:t xml:space="preserve">twenty years of </w:t>
      </w:r>
      <w:r w:rsidR="00070381">
        <w:t>projected</w:t>
      </w:r>
      <w:r w:rsidR="006D0A25">
        <w:t xml:space="preserve"> costs and revenues</w:t>
      </w:r>
      <w:r w:rsidR="005379B4" w:rsidRPr="005379B4">
        <w:t xml:space="preserve"> </w:t>
      </w:r>
      <w:r w:rsidR="005379B4">
        <w:t>for t</w:t>
      </w:r>
      <w:r w:rsidR="005379B4" w:rsidRPr="005379B4">
        <w:t>he proposed project, the agency’s existing system, and its other planned projects.</w:t>
      </w:r>
      <w:r w:rsidR="005379B4">
        <w:t xml:space="preserve">  For this timeframe, the </w:t>
      </w:r>
      <w:r w:rsidR="00070381">
        <w:t>agency’s</w:t>
      </w:r>
      <w:r w:rsidR="005379B4">
        <w:t xml:space="preserve"> f</w:t>
      </w:r>
      <w:r w:rsidR="00070381">
        <w:t>inancial hea</w:t>
      </w:r>
      <w:r w:rsidR="005379B4">
        <w:t xml:space="preserve">lth </w:t>
      </w:r>
      <w:r w:rsidR="00F35926">
        <w:t xml:space="preserve">should be </w:t>
      </w:r>
      <w:r w:rsidR="005379B4">
        <w:t xml:space="preserve">demonstrated by its </w:t>
      </w:r>
      <w:r w:rsidR="00070381">
        <w:t xml:space="preserve">ability to </w:t>
      </w:r>
      <w:r w:rsidR="005379B4">
        <w:t xml:space="preserve">fund capital and operation and maintenance (O&amp;M) costs, and by the supporting documentation for </w:t>
      </w:r>
      <w:r w:rsidR="00070381">
        <w:t>the</w:t>
      </w:r>
      <w:r w:rsidR="006D0A25">
        <w:t xml:space="preserve"> assumptions </w:t>
      </w:r>
      <w:r w:rsidR="00070381">
        <w:t>behind</w:t>
      </w:r>
      <w:r w:rsidR="006D0A25">
        <w:t xml:space="preserve"> project</w:t>
      </w:r>
      <w:r w:rsidR="00070381">
        <w:t>ed costs and revenues</w:t>
      </w:r>
      <w:r w:rsidR="006D0A25">
        <w:t>.</w:t>
      </w:r>
      <w:r w:rsidR="002B4FEC" w:rsidRPr="002B4FEC">
        <w:t xml:space="preserve"> </w:t>
      </w:r>
    </w:p>
    <w:p w14:paraId="2331B45A" w14:textId="77777777" w:rsidR="00F35926" w:rsidRDefault="00F35926" w:rsidP="005379B4"/>
    <w:p w14:paraId="1F757919" w14:textId="6B1D5093" w:rsidR="00F35926" w:rsidRDefault="00F35926" w:rsidP="00F35926">
      <w:r w:rsidRPr="009E72DF">
        <w:t xml:space="preserve">The general content of the financial plan </w:t>
      </w:r>
      <w:r>
        <w:t xml:space="preserve">will </w:t>
      </w:r>
      <w:r w:rsidRPr="009E72DF">
        <w:t>remain the same throughout a project’s life</w:t>
      </w:r>
      <w:r>
        <w:t xml:space="preserve"> however t</w:t>
      </w:r>
      <w:r w:rsidRPr="009E72DF">
        <w:t xml:space="preserve">he </w:t>
      </w:r>
      <w:r w:rsidRPr="00F35926">
        <w:t xml:space="preserve">level of development of the plan will reflect the project development stage.  </w:t>
      </w:r>
      <w:r>
        <w:t>D</w:t>
      </w:r>
      <w:r w:rsidRPr="009E72DF">
        <w:t xml:space="preserve">etails </w:t>
      </w:r>
      <w:r>
        <w:t xml:space="preserve">will </w:t>
      </w:r>
      <w:r w:rsidRPr="009E72DF">
        <w:t xml:space="preserve">evolve as project scope, cost estimates, and funding strategies are defined, and fund sources transition from planned to </w:t>
      </w:r>
      <w:proofErr w:type="gramStart"/>
      <w:r w:rsidRPr="009E72DF">
        <w:t>budgeted</w:t>
      </w:r>
      <w:proofErr w:type="gramEnd"/>
      <w:r w:rsidRPr="009E72DF">
        <w:t xml:space="preserve"> to committed.   </w:t>
      </w:r>
    </w:p>
    <w:p w14:paraId="78B38800" w14:textId="77777777" w:rsidR="00F35926" w:rsidRDefault="00F35926" w:rsidP="005379B4"/>
    <w:p w14:paraId="1A7552A0" w14:textId="170CD1B8" w:rsidR="00F35926" w:rsidRDefault="005379B4" w:rsidP="005379B4">
      <w:r>
        <w:t>Th</w:t>
      </w:r>
      <w:r w:rsidR="00F35926">
        <w:t>e cost and revenue forecasts in the financial plan are</w:t>
      </w:r>
      <w:r>
        <w:t xml:space="preserve"> </w:t>
      </w:r>
      <w:r w:rsidRPr="005379B4">
        <w:t xml:space="preserve">useful </w:t>
      </w:r>
      <w:r w:rsidR="008C4D5D">
        <w:t xml:space="preserve">at many </w:t>
      </w:r>
      <w:r w:rsidR="00F35926">
        <w:t>points in a project’s life but are</w:t>
      </w:r>
      <w:r w:rsidR="008C4D5D">
        <w:t xml:space="preserve"> especially useful when</w:t>
      </w:r>
      <w:r>
        <w:t xml:space="preserve"> </w:t>
      </w:r>
      <w:r w:rsidR="008C4D5D">
        <w:t xml:space="preserve">the Grantee and </w:t>
      </w:r>
      <w:r w:rsidR="00F35926">
        <w:t>s</w:t>
      </w:r>
      <w:r w:rsidR="008C4D5D">
        <w:t xml:space="preserve">takeholders are </w:t>
      </w:r>
      <w:r>
        <w:t xml:space="preserve">deciding among alignments or projects in </w:t>
      </w:r>
      <w:r w:rsidRPr="005379B4">
        <w:t>alternatives analysis</w:t>
      </w:r>
      <w:r>
        <w:t xml:space="preserve">. </w:t>
      </w:r>
      <w:r w:rsidRPr="005379B4">
        <w:t xml:space="preserve"> </w:t>
      </w:r>
    </w:p>
    <w:p w14:paraId="7D89810F" w14:textId="77777777" w:rsidR="00F35926" w:rsidRDefault="00F35926" w:rsidP="005379B4"/>
    <w:p w14:paraId="4EE4EC5A" w14:textId="0E2A3E2C" w:rsidR="006D0A25" w:rsidRDefault="00F35926" w:rsidP="005379B4">
      <w:r>
        <w:t>Prior to initiation of final design, t</w:t>
      </w:r>
      <w:r w:rsidRPr="00F35926">
        <w:t>he Grantee is expected to have non-federal funds committed to complete</w:t>
      </w:r>
      <w:r>
        <w:t xml:space="preserve"> project</w:t>
      </w:r>
      <w:r w:rsidRPr="00F35926">
        <w:t xml:space="preserve"> construction</w:t>
      </w:r>
      <w:r>
        <w:t xml:space="preserve">.  </w:t>
      </w:r>
      <w:r w:rsidRPr="00F35926">
        <w:t>Prior to initiation of</w:t>
      </w:r>
      <w:r>
        <w:t xml:space="preserve"> construction, the Grantee is expected to have all funds committed for construction and to support operation, maintenance, and necessary recapitalization for the first twenty years of operation. </w:t>
      </w:r>
      <w:r w:rsidRPr="00F35926">
        <w:t xml:space="preserve"> </w:t>
      </w:r>
      <w:r w:rsidR="002B4FEC">
        <w:t xml:space="preserve">   </w:t>
      </w:r>
    </w:p>
    <w:p w14:paraId="3F4C0592" w14:textId="77777777" w:rsidR="006D0A25" w:rsidRDefault="006D0A25" w:rsidP="004532D8"/>
    <w:p w14:paraId="1D885DEB" w14:textId="0F872AE4" w:rsidR="009451FC" w:rsidRDefault="004A36BF" w:rsidP="004532D8">
      <w:pPr>
        <w:pStyle w:val="Heading1"/>
        <w:spacing w:before="0" w:after="0"/>
      </w:pPr>
      <w:r w:rsidRPr="004A36BF">
        <w:t>REQUIRED DOCUMENT</w:t>
      </w:r>
      <w:r>
        <w:t>S</w:t>
      </w:r>
    </w:p>
    <w:p w14:paraId="3B00B675" w14:textId="77777777" w:rsidR="004532D8" w:rsidRPr="004532D8" w:rsidRDefault="004532D8" w:rsidP="004532D8"/>
    <w:p w14:paraId="584EB3DE" w14:textId="059FE4A5" w:rsidR="00971752" w:rsidRDefault="00F815A7" w:rsidP="009E72DF">
      <w:r>
        <w:t>T</w:t>
      </w:r>
      <w:r w:rsidR="009451FC" w:rsidRPr="00B476C7">
        <w:t>he MTAC</w:t>
      </w:r>
      <w:r>
        <w:t xml:space="preserve"> should obtain </w:t>
      </w:r>
      <w:r w:rsidR="009451FC" w:rsidRPr="00B476C7">
        <w:t xml:space="preserve">from the Grantee </w:t>
      </w:r>
      <w:r w:rsidR="009E72DF">
        <w:t>the f</w:t>
      </w:r>
      <w:r w:rsidR="00D20647">
        <w:t xml:space="preserve">inancial </w:t>
      </w:r>
      <w:r w:rsidR="00F4025C">
        <w:t>plan</w:t>
      </w:r>
      <w:r w:rsidR="00070381">
        <w:t>, the p</w:t>
      </w:r>
      <w:r w:rsidR="002B4FEC">
        <w:t xml:space="preserve">roject </w:t>
      </w:r>
      <w:r w:rsidR="00FF5674">
        <w:t>cost estimate and schedule</w:t>
      </w:r>
      <w:r w:rsidR="009E72DF">
        <w:t xml:space="preserve">, and if available, the </w:t>
      </w:r>
      <w:r w:rsidR="00070381">
        <w:t>market analysis</w:t>
      </w:r>
      <w:r w:rsidR="0043210A">
        <w:t>,</w:t>
      </w:r>
      <w:r w:rsidR="005379B4">
        <w:t xml:space="preserve"> and regional </w:t>
      </w:r>
      <w:r w:rsidR="00070381">
        <w:t>economic co</w:t>
      </w:r>
      <w:r w:rsidR="005379B4">
        <w:t xml:space="preserve">ndition study. </w:t>
      </w:r>
      <w:r w:rsidR="009E72DF">
        <w:t xml:space="preserve">  </w:t>
      </w:r>
    </w:p>
    <w:p w14:paraId="0E1FB710" w14:textId="77777777" w:rsidR="009E72DF" w:rsidRDefault="009E72DF" w:rsidP="009E72DF"/>
    <w:p w14:paraId="4B6B3FAD" w14:textId="7E50E8D0" w:rsidR="009451FC" w:rsidRDefault="009451FC" w:rsidP="004532D8">
      <w:pPr>
        <w:pStyle w:val="Heading1"/>
        <w:spacing w:before="0" w:after="0"/>
      </w:pPr>
      <w:r>
        <w:t>scope of work</w:t>
      </w:r>
    </w:p>
    <w:p w14:paraId="7F553ACC" w14:textId="77777777" w:rsidR="004532D8" w:rsidRPr="004532D8" w:rsidRDefault="004532D8" w:rsidP="004532D8"/>
    <w:p w14:paraId="29B46B55" w14:textId="39BC3D63" w:rsidR="00D36414" w:rsidRDefault="00D36414" w:rsidP="004532D8">
      <w:pPr>
        <w:pStyle w:val="hsr1"/>
        <w:numPr>
          <w:ilvl w:val="0"/>
          <w:numId w:val="0"/>
        </w:numPr>
      </w:pPr>
      <w:r>
        <w:t>The MTAC should evaluate</w:t>
      </w:r>
      <w:r w:rsidR="00081087" w:rsidRPr="00081087">
        <w:t xml:space="preserve"> the Grantee’s </w:t>
      </w:r>
      <w:r w:rsidR="00081087">
        <w:t>financial plan</w:t>
      </w:r>
      <w:r w:rsidR="002B4FEC" w:rsidRPr="002B4FEC">
        <w:t xml:space="preserve"> </w:t>
      </w:r>
      <w:r w:rsidR="00266D23">
        <w:t>to confirm t</w:t>
      </w:r>
      <w:r w:rsidR="00081087">
        <w:t xml:space="preserve">he </w:t>
      </w:r>
      <w:r w:rsidR="0078292C">
        <w:t xml:space="preserve">Grantee’s </w:t>
      </w:r>
      <w:r w:rsidR="00081087">
        <w:t>capacity and capability to</w:t>
      </w:r>
      <w:r>
        <w:t>:</w:t>
      </w:r>
    </w:p>
    <w:p w14:paraId="668E4D88" w14:textId="24E021CD" w:rsidR="00070381" w:rsidRDefault="00D36414" w:rsidP="004532D8">
      <w:pPr>
        <w:pStyle w:val="ListParagraph"/>
        <w:numPr>
          <w:ilvl w:val="0"/>
          <w:numId w:val="23"/>
        </w:numPr>
        <w:ind w:left="900" w:hanging="360"/>
      </w:pPr>
      <w:r>
        <w:t>u</w:t>
      </w:r>
      <w:r w:rsidR="00081087">
        <w:t xml:space="preserve">ndertake the project – to </w:t>
      </w:r>
      <w:r w:rsidR="00081087" w:rsidRPr="00081087">
        <w:t xml:space="preserve">identify and </w:t>
      </w:r>
      <w:r w:rsidR="00081087">
        <w:t>obtain</w:t>
      </w:r>
      <w:r w:rsidR="00081087" w:rsidRPr="00081087">
        <w:t xml:space="preserve"> </w:t>
      </w:r>
      <w:r w:rsidR="00070381">
        <w:t xml:space="preserve">capital </w:t>
      </w:r>
      <w:r w:rsidR="00081087" w:rsidRPr="00081087">
        <w:t xml:space="preserve">funding </w:t>
      </w:r>
      <w:r w:rsidR="00081087">
        <w:t xml:space="preserve">on a schedule </w:t>
      </w:r>
      <w:r w:rsidR="009E72DF">
        <w:t>that reflects the cash flow needs of the p</w:t>
      </w:r>
      <w:r w:rsidR="00081087">
        <w:t>roject</w:t>
      </w:r>
      <w:r>
        <w:t xml:space="preserve"> schedule</w:t>
      </w:r>
      <w:r w:rsidR="00070381">
        <w:t>;</w:t>
      </w:r>
    </w:p>
    <w:p w14:paraId="15AB18C5" w14:textId="00181114" w:rsidR="00070381" w:rsidRDefault="00D36414" w:rsidP="004532D8">
      <w:pPr>
        <w:pStyle w:val="ListParagraph"/>
        <w:numPr>
          <w:ilvl w:val="0"/>
          <w:numId w:val="23"/>
        </w:numPr>
        <w:ind w:left="900" w:hanging="360"/>
      </w:pPr>
      <w:r>
        <w:lastRenderedPageBreak/>
        <w:t xml:space="preserve">meet </w:t>
      </w:r>
      <w:r w:rsidRPr="00D36414">
        <w:t>the requirements for ongoing operations, management, and maintenance</w:t>
      </w:r>
      <w:r w:rsidR="00070381">
        <w:t xml:space="preserve"> for the project and the agency as a whole</w:t>
      </w:r>
      <w:r>
        <w:t xml:space="preserve"> </w:t>
      </w:r>
      <w:r w:rsidRPr="00D36414">
        <w:t>fo</w:t>
      </w:r>
      <w:r>
        <w:t>r a 20-year period</w:t>
      </w:r>
      <w:r w:rsidR="00070381">
        <w:t>;</w:t>
      </w:r>
      <w:r>
        <w:t xml:space="preserve"> </w:t>
      </w:r>
    </w:p>
    <w:p w14:paraId="1C700B8D" w14:textId="55502E96" w:rsidR="00081087" w:rsidRDefault="00D36414" w:rsidP="004532D8">
      <w:pPr>
        <w:pStyle w:val="ListParagraph"/>
        <w:numPr>
          <w:ilvl w:val="0"/>
          <w:numId w:val="23"/>
        </w:numPr>
        <w:ind w:left="900" w:hanging="360"/>
      </w:pPr>
      <w:proofErr w:type="gramStart"/>
      <w:r w:rsidRPr="00D36414">
        <w:t>identify</w:t>
      </w:r>
      <w:proofErr w:type="gramEnd"/>
      <w:r w:rsidRPr="00D36414">
        <w:t>, analyze, manage, and mitigate project risk</w:t>
      </w:r>
      <w:r w:rsidR="004A36BF">
        <w:t>s to t</w:t>
      </w:r>
      <w:r w:rsidRPr="00D36414">
        <w:t>he finance plan</w:t>
      </w:r>
      <w:r w:rsidR="00070381">
        <w:t>.</w:t>
      </w:r>
    </w:p>
    <w:p w14:paraId="7DE856A0" w14:textId="77777777" w:rsidR="00070381" w:rsidRDefault="00070381" w:rsidP="004532D8">
      <w:pPr>
        <w:pStyle w:val="hsr1"/>
        <w:numPr>
          <w:ilvl w:val="0"/>
          <w:numId w:val="0"/>
        </w:numPr>
      </w:pPr>
    </w:p>
    <w:p w14:paraId="4F278512" w14:textId="23FF4F83" w:rsidR="00971752" w:rsidRDefault="00971752" w:rsidP="00971752">
      <w:pPr>
        <w:pStyle w:val="hsr1"/>
        <w:numPr>
          <w:ilvl w:val="0"/>
          <w:numId w:val="0"/>
        </w:numPr>
        <w:tabs>
          <w:tab w:val="clear" w:pos="547"/>
        </w:tabs>
      </w:pPr>
      <w:r>
        <w:t>The MTAC will review revenue and expenditure projections including the assumptions described and any supporting documentation.  If the MTAC determines that the Grantee’s assumptions or its capacity to generate revenue is inadequate or weak, the MTAC should make recommendations for corrective action, along with a time frame for the action.</w:t>
      </w:r>
    </w:p>
    <w:p w14:paraId="4E84EF9B" w14:textId="77777777" w:rsidR="00971752" w:rsidRDefault="00971752" w:rsidP="004532D8">
      <w:pPr>
        <w:pStyle w:val="hsr1"/>
        <w:numPr>
          <w:ilvl w:val="0"/>
          <w:numId w:val="0"/>
        </w:numPr>
      </w:pPr>
    </w:p>
    <w:p w14:paraId="1A5DFDA1" w14:textId="7414A744" w:rsidR="00971752" w:rsidRPr="00971752" w:rsidRDefault="00971752" w:rsidP="00971752">
      <w:pPr>
        <w:pStyle w:val="hsr1"/>
        <w:numPr>
          <w:ilvl w:val="0"/>
          <w:numId w:val="0"/>
        </w:numPr>
      </w:pPr>
      <w:r w:rsidRPr="00971752">
        <w:t xml:space="preserve">The MTAC will verify that the Grantee has completed and submitted the required documents on a timely basis. </w:t>
      </w:r>
      <w:r>
        <w:t xml:space="preserve">  </w:t>
      </w:r>
      <w:r w:rsidR="009451FC" w:rsidRPr="00B476C7">
        <w:t xml:space="preserve">As the project progresses, the MTAC </w:t>
      </w:r>
      <w:r w:rsidR="00F815A7">
        <w:t xml:space="preserve">will </w:t>
      </w:r>
      <w:r w:rsidR="009451FC" w:rsidRPr="00B476C7">
        <w:t xml:space="preserve">ensure that the Grantee </w:t>
      </w:r>
      <w:r w:rsidR="004A36BF">
        <w:t xml:space="preserve">updates or modifies the </w:t>
      </w:r>
      <w:r w:rsidR="009451FC" w:rsidRPr="00B476C7">
        <w:t xml:space="preserve">information </w:t>
      </w:r>
      <w:r w:rsidR="00EC4325">
        <w:t>wh</w:t>
      </w:r>
      <w:r w:rsidR="00266D23">
        <w:t>en</w:t>
      </w:r>
      <w:r w:rsidR="00EC4325">
        <w:t xml:space="preserve"> </w:t>
      </w:r>
      <w:r w:rsidR="009451FC" w:rsidRPr="00B476C7">
        <w:t>necessary</w:t>
      </w:r>
      <w:r w:rsidR="00266D23">
        <w:t xml:space="preserve">, typically </w:t>
      </w:r>
      <w:r w:rsidR="009451FC" w:rsidRPr="00B476C7">
        <w:t>annually.</w:t>
      </w:r>
      <w:r>
        <w:t xml:space="preserve"> The updates should document significant changes in project costs or revenues, provide explanations for the changes, and describe the actions to address potential shortfalls.  </w:t>
      </w:r>
    </w:p>
    <w:p w14:paraId="44314EA8" w14:textId="77777777" w:rsidR="004532D8" w:rsidRPr="004532D8" w:rsidRDefault="004532D8" w:rsidP="004532D8">
      <w:pPr>
        <w:pStyle w:val="hsr2"/>
        <w:numPr>
          <w:ilvl w:val="0"/>
          <w:numId w:val="0"/>
        </w:numPr>
        <w:ind w:left="1267"/>
      </w:pPr>
    </w:p>
    <w:p w14:paraId="33797D77" w14:textId="26E35833" w:rsidR="006D0A25" w:rsidRDefault="007D36A6" w:rsidP="004532D8">
      <w:pPr>
        <w:pStyle w:val="Heading2"/>
        <w:spacing w:before="0" w:after="0"/>
      </w:pPr>
      <w:r>
        <w:t>F</w:t>
      </w:r>
      <w:r w:rsidR="00464054">
        <w:t xml:space="preserve">inancial plan </w:t>
      </w:r>
      <w:r w:rsidR="00266D23" w:rsidRPr="00266D23">
        <w:t xml:space="preserve"> </w:t>
      </w:r>
    </w:p>
    <w:p w14:paraId="32A352FB" w14:textId="77777777" w:rsidR="004532D8" w:rsidRPr="004532D8" w:rsidRDefault="004532D8" w:rsidP="004532D8"/>
    <w:p w14:paraId="6F48B2B7" w14:textId="29E375E8" w:rsidR="001048BB" w:rsidRDefault="006D0A25" w:rsidP="004532D8">
      <w:r w:rsidRPr="006D0A25">
        <w:t xml:space="preserve">The </w:t>
      </w:r>
      <w:r w:rsidR="007D36A6">
        <w:t xml:space="preserve">financial </w:t>
      </w:r>
      <w:r w:rsidRPr="006D0A25">
        <w:t xml:space="preserve">plan is constructed by bringing several elements together into an integrated </w:t>
      </w:r>
      <w:r>
        <w:t xml:space="preserve">model, as shown in </w:t>
      </w:r>
      <w:r w:rsidRPr="006D0A25">
        <w:t xml:space="preserve">Figure 1 </w:t>
      </w:r>
      <w:r>
        <w:t>below:</w:t>
      </w:r>
    </w:p>
    <w:p w14:paraId="29FD65BF" w14:textId="77777777" w:rsidR="001048BB" w:rsidRDefault="001048BB" w:rsidP="001048BB"/>
    <w:p w14:paraId="5011A3B4" w14:textId="722544F0" w:rsidR="001048BB" w:rsidRDefault="001048BB" w:rsidP="001048BB">
      <w:r>
        <w:rPr>
          <w:noProof/>
        </w:rPr>
        <w:drawing>
          <wp:inline distT="0" distB="0" distL="0" distR="0" wp14:anchorId="1AD294D7" wp14:editId="78D690EF">
            <wp:extent cx="5546189" cy="3196762"/>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46189" cy="3196762"/>
                    </a:xfrm>
                    <a:prstGeom prst="rect">
                      <a:avLst/>
                    </a:prstGeom>
                  </pic:spPr>
                </pic:pic>
              </a:graphicData>
            </a:graphic>
          </wp:inline>
        </w:drawing>
      </w:r>
    </w:p>
    <w:p w14:paraId="79351697" w14:textId="77777777" w:rsidR="001048BB" w:rsidRDefault="001048BB" w:rsidP="001048BB"/>
    <w:p w14:paraId="58726F11" w14:textId="698BD3FF" w:rsidR="00991C01" w:rsidRDefault="00991C01" w:rsidP="004532D8">
      <w:r w:rsidRPr="006D0A25">
        <w:t xml:space="preserve">The </w:t>
      </w:r>
      <w:r w:rsidRPr="00464054">
        <w:t xml:space="preserve">financial plan </w:t>
      </w:r>
      <w:r>
        <w:t>includes a</w:t>
      </w:r>
      <w:r w:rsidRPr="006D0A25">
        <w:t xml:space="preserve"> 20-year cash flow projection </w:t>
      </w:r>
      <w:r>
        <w:t>covering both</w:t>
      </w:r>
      <w:r w:rsidRPr="006D0A25">
        <w:t xml:space="preserve"> capital and operating </w:t>
      </w:r>
      <w:r>
        <w:t>revenues and expenses for the agency as a whole, as well as for the p</w:t>
      </w:r>
      <w:r w:rsidRPr="006D0A25">
        <w:t xml:space="preserve">roposed project. </w:t>
      </w:r>
      <w:r>
        <w:t xml:space="preserve"> The assumptions and inputs that support the cash flow </w:t>
      </w:r>
      <w:r w:rsidRPr="006D0A25">
        <w:t>projection</w:t>
      </w:r>
      <w:r>
        <w:t xml:space="preserve"> include: </w:t>
      </w:r>
    </w:p>
    <w:p w14:paraId="5EE3DB7C" w14:textId="77777777" w:rsidR="00656661" w:rsidRDefault="00656661" w:rsidP="004532D8"/>
    <w:p w14:paraId="391BCE25" w14:textId="77777777" w:rsidR="00991C01" w:rsidRPr="006D0A25" w:rsidRDefault="00991C01" w:rsidP="004532D8">
      <w:pPr>
        <w:pStyle w:val="ListParagraph"/>
        <w:numPr>
          <w:ilvl w:val="0"/>
          <w:numId w:val="23"/>
        </w:numPr>
        <w:ind w:left="900" w:hanging="360"/>
      </w:pPr>
      <w:r w:rsidRPr="006D0A25">
        <w:t>Funding sources and revenue forecasts;</w:t>
      </w:r>
    </w:p>
    <w:p w14:paraId="7AC03BA7" w14:textId="77777777" w:rsidR="00991C01" w:rsidRPr="006D0A25" w:rsidRDefault="00991C01" w:rsidP="004532D8">
      <w:pPr>
        <w:pStyle w:val="ListParagraph"/>
        <w:numPr>
          <w:ilvl w:val="0"/>
          <w:numId w:val="23"/>
        </w:numPr>
        <w:ind w:left="900" w:hanging="360"/>
      </w:pPr>
      <w:r w:rsidRPr="006D0A25">
        <w:t>Proposed project capital budget;</w:t>
      </w:r>
    </w:p>
    <w:p w14:paraId="3BBD6A2F" w14:textId="77777777" w:rsidR="00991C01" w:rsidRPr="006D0A25" w:rsidRDefault="00991C01" w:rsidP="004532D8">
      <w:pPr>
        <w:pStyle w:val="ListParagraph"/>
        <w:numPr>
          <w:ilvl w:val="0"/>
          <w:numId w:val="23"/>
        </w:numPr>
        <w:ind w:left="900" w:hanging="360"/>
      </w:pPr>
      <w:r w:rsidRPr="006D0A25">
        <w:lastRenderedPageBreak/>
        <w:t>Other planned capital projects; and</w:t>
      </w:r>
    </w:p>
    <w:p w14:paraId="6C9F51EE" w14:textId="00E4A6E9" w:rsidR="00991C01" w:rsidRPr="006D0A25" w:rsidRDefault="00991C01" w:rsidP="004532D8">
      <w:pPr>
        <w:pStyle w:val="ListParagraph"/>
        <w:numPr>
          <w:ilvl w:val="0"/>
          <w:numId w:val="23"/>
        </w:numPr>
        <w:ind w:left="900" w:hanging="360"/>
      </w:pPr>
      <w:r w:rsidRPr="006D0A25">
        <w:t xml:space="preserve">Annual operating and maintenance (O&amp;M) expenses for the project </w:t>
      </w:r>
      <w:r w:rsidR="00656661">
        <w:t>as well as the</w:t>
      </w:r>
      <w:r w:rsidRPr="006D0A25">
        <w:t xml:space="preserve"> existing</w:t>
      </w:r>
      <w:r>
        <w:t xml:space="preserve"> and future</w:t>
      </w:r>
      <w:r w:rsidRPr="006D0A25">
        <w:t xml:space="preserve"> system.</w:t>
      </w:r>
    </w:p>
    <w:p w14:paraId="371714E4" w14:textId="77777777" w:rsidR="00991C01" w:rsidRDefault="00991C01" w:rsidP="004532D8">
      <w:pPr>
        <w:pStyle w:val="ListParagraph"/>
        <w:ind w:left="0"/>
      </w:pPr>
    </w:p>
    <w:p w14:paraId="280FBD5A" w14:textId="66680FA5" w:rsidR="001048BB" w:rsidRDefault="001048BB" w:rsidP="004532D8">
      <w:r>
        <w:t>The financial plan should conform to this outline:</w:t>
      </w:r>
    </w:p>
    <w:p w14:paraId="344BE5E4" w14:textId="77777777" w:rsidR="001048BB" w:rsidRDefault="001048BB" w:rsidP="004532D8"/>
    <w:p w14:paraId="46D1BD65" w14:textId="77777777" w:rsidR="00FD555A" w:rsidRDefault="001048BB" w:rsidP="004532D8">
      <w:pPr>
        <w:pStyle w:val="ListParagraph"/>
        <w:numPr>
          <w:ilvl w:val="0"/>
          <w:numId w:val="24"/>
        </w:numPr>
      </w:pPr>
      <w:r>
        <w:t>Introduction</w:t>
      </w:r>
    </w:p>
    <w:p w14:paraId="11408BB6" w14:textId="0A3CA908" w:rsidR="00FD555A" w:rsidRDefault="001048BB" w:rsidP="004532D8">
      <w:pPr>
        <w:pStyle w:val="ListParagraph"/>
        <w:numPr>
          <w:ilvl w:val="1"/>
          <w:numId w:val="24"/>
        </w:numPr>
      </w:pPr>
      <w:r>
        <w:t xml:space="preserve">Description of the </w:t>
      </w:r>
      <w:r w:rsidR="00FD555A">
        <w:t>Grantee</w:t>
      </w:r>
      <w:r>
        <w:t xml:space="preserve"> and Funding Partners </w:t>
      </w:r>
    </w:p>
    <w:p w14:paraId="624873ED" w14:textId="74532201" w:rsidR="001048BB" w:rsidRDefault="001048BB" w:rsidP="004532D8">
      <w:pPr>
        <w:pStyle w:val="ListParagraph"/>
        <w:numPr>
          <w:ilvl w:val="1"/>
          <w:numId w:val="24"/>
        </w:numPr>
      </w:pPr>
      <w:r>
        <w:t>Description of the Project</w:t>
      </w:r>
    </w:p>
    <w:p w14:paraId="142F8F03" w14:textId="77777777" w:rsidR="00FD555A" w:rsidRDefault="001048BB" w:rsidP="004532D8">
      <w:pPr>
        <w:pStyle w:val="ListParagraph"/>
        <w:numPr>
          <w:ilvl w:val="1"/>
          <w:numId w:val="24"/>
        </w:numPr>
      </w:pPr>
      <w:r>
        <w:t>Summary of the Financial Plan</w:t>
      </w:r>
      <w:r w:rsidR="00FD555A">
        <w:t xml:space="preserve"> </w:t>
      </w:r>
    </w:p>
    <w:p w14:paraId="08041A19" w14:textId="77777777" w:rsidR="00C42640" w:rsidRDefault="00C42640" w:rsidP="004532D8">
      <w:pPr>
        <w:pStyle w:val="ListParagraph"/>
        <w:ind w:left="1080"/>
      </w:pPr>
    </w:p>
    <w:p w14:paraId="2006923E" w14:textId="15D158C1" w:rsidR="00FD555A" w:rsidRDefault="00C634FF" w:rsidP="001648F4">
      <w:pPr>
        <w:pStyle w:val="ListParagraph"/>
        <w:numPr>
          <w:ilvl w:val="0"/>
          <w:numId w:val="24"/>
        </w:numPr>
      </w:pPr>
      <w:r>
        <w:t>Capital Costs and Revenues</w:t>
      </w:r>
    </w:p>
    <w:p w14:paraId="2728C634" w14:textId="78A75384" w:rsidR="00FD555A" w:rsidRDefault="001048BB" w:rsidP="004532D8">
      <w:pPr>
        <w:pStyle w:val="ListParagraph"/>
        <w:numPr>
          <w:ilvl w:val="1"/>
          <w:numId w:val="24"/>
        </w:numPr>
      </w:pPr>
      <w:r>
        <w:t>Project Plan</w:t>
      </w:r>
    </w:p>
    <w:p w14:paraId="0BCCA34C" w14:textId="1AB4CDC7" w:rsidR="001048BB" w:rsidRDefault="001048BB" w:rsidP="004532D8">
      <w:pPr>
        <w:pStyle w:val="ListParagraph"/>
        <w:numPr>
          <w:ilvl w:val="1"/>
          <w:numId w:val="24"/>
        </w:numPr>
      </w:pPr>
      <w:r>
        <w:t xml:space="preserve">Agency-Wide </w:t>
      </w:r>
      <w:r w:rsidR="004532D8">
        <w:t>Plan</w:t>
      </w:r>
    </w:p>
    <w:p w14:paraId="44A147F1" w14:textId="77777777" w:rsidR="001048BB" w:rsidRDefault="001048BB" w:rsidP="004532D8"/>
    <w:p w14:paraId="37B67F85" w14:textId="0D620AAF" w:rsidR="00732CC7" w:rsidRDefault="00732CC7" w:rsidP="00C634FF">
      <w:pPr>
        <w:pStyle w:val="ListParagraph"/>
        <w:numPr>
          <w:ilvl w:val="0"/>
          <w:numId w:val="24"/>
        </w:numPr>
      </w:pPr>
      <w:r w:rsidRPr="004B2F11">
        <w:t xml:space="preserve">Operating and Maintenance (O&amp;M) </w:t>
      </w:r>
      <w:r w:rsidR="00C634FF">
        <w:t>Costs and Revenues</w:t>
      </w:r>
    </w:p>
    <w:p w14:paraId="6F46E6BB" w14:textId="77777777" w:rsidR="00732CC7" w:rsidRDefault="00732CC7" w:rsidP="00732CC7">
      <w:pPr>
        <w:pStyle w:val="ListParagraph"/>
        <w:numPr>
          <w:ilvl w:val="1"/>
          <w:numId w:val="24"/>
        </w:numPr>
      </w:pPr>
      <w:r>
        <w:t>Project Plan</w:t>
      </w:r>
    </w:p>
    <w:p w14:paraId="0E0E96D6" w14:textId="77777777" w:rsidR="00732CC7" w:rsidRDefault="00732CC7" w:rsidP="00732CC7">
      <w:pPr>
        <w:pStyle w:val="ListParagraph"/>
        <w:numPr>
          <w:ilvl w:val="1"/>
          <w:numId w:val="24"/>
        </w:numPr>
      </w:pPr>
      <w:r>
        <w:t>Agency-Wide Plan</w:t>
      </w:r>
    </w:p>
    <w:p w14:paraId="59AB774A" w14:textId="77777777" w:rsidR="00732CC7" w:rsidRDefault="00732CC7" w:rsidP="00732CC7">
      <w:pPr>
        <w:pStyle w:val="ListParagraph"/>
      </w:pPr>
    </w:p>
    <w:p w14:paraId="0D71E555" w14:textId="77777777" w:rsidR="00FD555A" w:rsidRDefault="001048BB" w:rsidP="004532D8">
      <w:pPr>
        <w:pStyle w:val="ListParagraph"/>
        <w:numPr>
          <w:ilvl w:val="0"/>
          <w:numId w:val="24"/>
        </w:numPr>
      </w:pPr>
      <w:r>
        <w:t>Cash Flow Analysis</w:t>
      </w:r>
    </w:p>
    <w:p w14:paraId="3C3ED1A8" w14:textId="77777777" w:rsidR="00FD555A" w:rsidRDefault="001048BB" w:rsidP="004532D8">
      <w:pPr>
        <w:pStyle w:val="ListParagraph"/>
        <w:numPr>
          <w:ilvl w:val="1"/>
          <w:numId w:val="24"/>
        </w:numPr>
      </w:pPr>
      <w:r>
        <w:t>Twenty-Year Cash Flow Projection</w:t>
      </w:r>
    </w:p>
    <w:p w14:paraId="1F1A4BEF" w14:textId="660DA484" w:rsidR="001048BB" w:rsidRDefault="001048BB" w:rsidP="004532D8">
      <w:pPr>
        <w:pStyle w:val="ListParagraph"/>
        <w:numPr>
          <w:ilvl w:val="1"/>
          <w:numId w:val="24"/>
        </w:numPr>
      </w:pPr>
      <w:r>
        <w:t>Financial Evaluation</w:t>
      </w:r>
    </w:p>
    <w:p w14:paraId="4EDFD2E2" w14:textId="77777777" w:rsidR="001048BB" w:rsidRDefault="001048BB" w:rsidP="004532D8"/>
    <w:p w14:paraId="2A3018CB" w14:textId="1437F2E7" w:rsidR="007D36A6" w:rsidRDefault="00820113" w:rsidP="004532D8">
      <w:pPr>
        <w:pStyle w:val="ListParagraph"/>
        <w:numPr>
          <w:ilvl w:val="0"/>
          <w:numId w:val="24"/>
        </w:numPr>
      </w:pPr>
      <w:r>
        <w:t>Appendi</w:t>
      </w:r>
      <w:r w:rsidR="004532D8">
        <w:t>x</w:t>
      </w:r>
      <w:r>
        <w:t xml:space="preserve">  </w:t>
      </w:r>
    </w:p>
    <w:p w14:paraId="2E2DF13F" w14:textId="27431CB2" w:rsidR="00FD555A" w:rsidRDefault="007D36A6" w:rsidP="004532D8">
      <w:pPr>
        <w:pStyle w:val="ListParagraph"/>
        <w:numPr>
          <w:ilvl w:val="1"/>
          <w:numId w:val="24"/>
        </w:numPr>
      </w:pPr>
      <w:r>
        <w:t xml:space="preserve">Summary of </w:t>
      </w:r>
      <w:r w:rsidR="004532D8">
        <w:t>Market Analysis</w:t>
      </w:r>
      <w:r w:rsidR="00971752">
        <w:t xml:space="preserve"> and Regional </w:t>
      </w:r>
      <w:r w:rsidR="004532D8">
        <w:t>E</w:t>
      </w:r>
      <w:r w:rsidR="00FD555A" w:rsidRPr="00FD555A">
        <w:t>conomic Co</w:t>
      </w:r>
      <w:r w:rsidR="00971752">
        <w:t>ndition Study</w:t>
      </w:r>
      <w:r w:rsidR="00FD555A" w:rsidRPr="00FD555A">
        <w:t xml:space="preserve"> </w:t>
      </w:r>
    </w:p>
    <w:p w14:paraId="0C55510D" w14:textId="77777777" w:rsidR="00971752" w:rsidRDefault="00971752" w:rsidP="00971752">
      <w:pPr>
        <w:pStyle w:val="ListParagraph"/>
        <w:numPr>
          <w:ilvl w:val="1"/>
          <w:numId w:val="24"/>
        </w:numPr>
      </w:pPr>
      <w:r>
        <w:t>Summary of Financial Condition of the Grantee</w:t>
      </w:r>
    </w:p>
    <w:p w14:paraId="40130F74" w14:textId="77777777" w:rsidR="00971752" w:rsidRDefault="00971752" w:rsidP="00971752">
      <w:pPr>
        <w:pStyle w:val="ListParagraph"/>
        <w:numPr>
          <w:ilvl w:val="1"/>
          <w:numId w:val="24"/>
        </w:numPr>
      </w:pPr>
      <w:r>
        <w:t>Summary of Fleet Management Plans if applicable</w:t>
      </w:r>
    </w:p>
    <w:p w14:paraId="28444AD6" w14:textId="77777777" w:rsidR="009E72DF" w:rsidRDefault="009E72DF" w:rsidP="009E72DF">
      <w:pPr>
        <w:pStyle w:val="Heading2"/>
        <w:numPr>
          <w:ilvl w:val="0"/>
          <w:numId w:val="0"/>
        </w:numPr>
        <w:spacing w:before="0" w:after="0"/>
        <w:ind w:left="576"/>
      </w:pPr>
    </w:p>
    <w:p w14:paraId="1BCDB877" w14:textId="19D973AA" w:rsidR="00C42640" w:rsidRDefault="00C634FF" w:rsidP="004532D8">
      <w:pPr>
        <w:pStyle w:val="Heading2"/>
        <w:spacing w:before="0" w:after="0"/>
      </w:pPr>
      <w:r>
        <w:t xml:space="preserve">Capital </w:t>
      </w:r>
      <w:r w:rsidR="004532D8">
        <w:t>Costs and Revenues</w:t>
      </w:r>
    </w:p>
    <w:p w14:paraId="2404D755" w14:textId="6EA8264A" w:rsidR="004532D8" w:rsidRDefault="004532D8" w:rsidP="004532D8">
      <w:pPr>
        <w:pStyle w:val="Heading3"/>
      </w:pPr>
      <w:r>
        <w:t xml:space="preserve">Project </w:t>
      </w:r>
      <w:r w:rsidR="005379B4">
        <w:t xml:space="preserve">Capital </w:t>
      </w:r>
      <w:r>
        <w:t>Plan</w:t>
      </w:r>
    </w:p>
    <w:p w14:paraId="206FA64A" w14:textId="46A40A7F" w:rsidR="005379B4" w:rsidRDefault="001648F4" w:rsidP="004532D8">
      <w:r w:rsidRPr="004B2F11">
        <w:t xml:space="preserve">This plan </w:t>
      </w:r>
      <w:r w:rsidR="00656661">
        <w:t>includes</w:t>
      </w:r>
      <w:r w:rsidR="009E72DF" w:rsidRPr="009E72DF">
        <w:t xml:space="preserve"> a high level of detail regarding </w:t>
      </w:r>
      <w:r w:rsidRPr="004B2F11">
        <w:t xml:space="preserve">the proposed </w:t>
      </w:r>
      <w:r w:rsidR="004B2F11">
        <w:t xml:space="preserve">sources and </w:t>
      </w:r>
      <w:r w:rsidR="009E72DF">
        <w:t xml:space="preserve">uses of funding for the planning, design, and construction, and start-up of the project. </w:t>
      </w:r>
      <w:r w:rsidR="004B2F11">
        <w:t xml:space="preserve"> </w:t>
      </w:r>
      <w:r w:rsidRPr="004B2F11">
        <w:t xml:space="preserve">It </w:t>
      </w:r>
      <w:r w:rsidR="009E72DF" w:rsidRPr="009E72DF">
        <w:t>demonstrates the Grantee’s ability to</w:t>
      </w:r>
      <w:r w:rsidR="00656661">
        <w:t xml:space="preserve"> manage capital costs, and </w:t>
      </w:r>
      <w:r w:rsidR="009E72DF" w:rsidRPr="009E72DF">
        <w:t>identify, obtain, and manage</w:t>
      </w:r>
      <w:r w:rsidR="009E72DF">
        <w:t xml:space="preserve"> capital f</w:t>
      </w:r>
      <w:r w:rsidR="009E72DF" w:rsidRPr="009E72DF">
        <w:t>undin</w:t>
      </w:r>
      <w:r w:rsidR="009E72DF">
        <w:t>g</w:t>
      </w:r>
      <w:r w:rsidR="005379B4">
        <w:t xml:space="preserve"> for the 5 + 20 timeframe</w:t>
      </w:r>
      <w:r w:rsidR="005379B4" w:rsidRPr="005379B4">
        <w:t xml:space="preserve"> </w:t>
      </w:r>
      <w:r w:rsidR="005379B4">
        <w:t>(</w:t>
      </w:r>
      <w:r w:rsidR="005379B4" w:rsidRPr="005379B4">
        <w:t>five years of financial history for the Grantee’s transportation agency and twenty years of projected costs and revenues</w:t>
      </w:r>
      <w:r w:rsidR="009E72DF">
        <w:t>.</w:t>
      </w:r>
      <w:r w:rsidR="005379B4">
        <w:t>)</w:t>
      </w:r>
      <w:r w:rsidR="009E72DF">
        <w:t xml:space="preserve">  </w:t>
      </w:r>
    </w:p>
    <w:p w14:paraId="3B37247B" w14:textId="77777777" w:rsidR="005379B4" w:rsidRDefault="005379B4" w:rsidP="004532D8"/>
    <w:p w14:paraId="4935BCE6" w14:textId="468EC854" w:rsidR="004532D8" w:rsidRDefault="009E72DF" w:rsidP="004532D8">
      <w:r>
        <w:t>It d</w:t>
      </w:r>
      <w:r w:rsidR="001648F4" w:rsidRPr="004B2F11">
        <w:t xml:space="preserve">ocuments the commitment level for each funding source, schedule for funding availability, financing arrangements, and cash flow to cover project </w:t>
      </w:r>
      <w:r w:rsidR="00656661">
        <w:t xml:space="preserve">costs </w:t>
      </w:r>
      <w:r>
        <w:t>for</w:t>
      </w:r>
      <w:r w:rsidR="001648F4" w:rsidRPr="004B2F11">
        <w:t xml:space="preserve"> the </w:t>
      </w:r>
      <w:r>
        <w:t xml:space="preserve">activities in the </w:t>
      </w:r>
      <w:r w:rsidR="001648F4" w:rsidRPr="004B2F11">
        <w:t xml:space="preserve">project schedule. </w:t>
      </w:r>
      <w:r w:rsidR="00656661">
        <w:t xml:space="preserve"> In </w:t>
      </w:r>
      <w:r w:rsidR="005379B4">
        <w:t xml:space="preserve">project </w:t>
      </w:r>
      <w:r w:rsidR="00656661">
        <w:t>planning</w:t>
      </w:r>
      <w:r w:rsidR="005379B4">
        <w:t xml:space="preserve"> and design</w:t>
      </w:r>
      <w:r w:rsidR="00656661">
        <w:t>, t</w:t>
      </w:r>
      <w:r>
        <w:t xml:space="preserve">he </w:t>
      </w:r>
      <w:r w:rsidR="001648F4" w:rsidRPr="001648F4">
        <w:t xml:space="preserve">costs and revenues </w:t>
      </w:r>
      <w:r w:rsidR="00656661">
        <w:t xml:space="preserve">can be shown </w:t>
      </w:r>
      <w:r>
        <w:t xml:space="preserve">in </w:t>
      </w:r>
      <w:r w:rsidR="001648F4" w:rsidRPr="001648F4">
        <w:t>a</w:t>
      </w:r>
      <w:r>
        <w:t xml:space="preserve">nnual </w:t>
      </w:r>
      <w:r w:rsidR="005379B4">
        <w:t>increments.  Before bidding for construction, costs and revenues should be shown in qua</w:t>
      </w:r>
      <w:r w:rsidR="001648F4" w:rsidRPr="001648F4">
        <w:t>rter</w:t>
      </w:r>
      <w:r>
        <w:t>-year increments</w:t>
      </w:r>
      <w:r w:rsidR="00656661">
        <w:t>.</w:t>
      </w:r>
      <w:r>
        <w:t xml:space="preserve">  </w:t>
      </w:r>
    </w:p>
    <w:p w14:paraId="165E5462" w14:textId="77777777" w:rsidR="00790C74" w:rsidRDefault="00790C74" w:rsidP="004532D8"/>
    <w:p w14:paraId="3BD7F3D1" w14:textId="77777777" w:rsidR="00790C74" w:rsidRDefault="00790C74" w:rsidP="004532D8"/>
    <w:p w14:paraId="66B165F3" w14:textId="77777777" w:rsidR="00790C74" w:rsidRDefault="00790C74" w:rsidP="004532D8"/>
    <w:p w14:paraId="3C4B7490" w14:textId="77777777" w:rsidR="004532D8" w:rsidRDefault="004532D8" w:rsidP="004532D8"/>
    <w:p w14:paraId="57B68E60" w14:textId="5DD65B9D" w:rsidR="001648F4" w:rsidRDefault="00FA117E" w:rsidP="004532D8">
      <w:r>
        <w:lastRenderedPageBreak/>
        <w:t>C</w:t>
      </w:r>
      <w:r w:rsidR="001648F4">
        <w:t xml:space="preserve">apital </w:t>
      </w:r>
      <w:r w:rsidR="00656661">
        <w:t>C</w:t>
      </w:r>
      <w:r w:rsidR="001648F4">
        <w:t xml:space="preserve">ost </w:t>
      </w:r>
      <w:r w:rsidR="00656661">
        <w:t>E</w:t>
      </w:r>
      <w:r w:rsidR="001648F4">
        <w:t xml:space="preserve">stimating and </w:t>
      </w:r>
      <w:r w:rsidR="00656661">
        <w:t>S</w:t>
      </w:r>
      <w:r w:rsidR="001648F4">
        <w:t>cheduling:</w:t>
      </w:r>
    </w:p>
    <w:p w14:paraId="1800928F" w14:textId="77777777" w:rsidR="001648F4" w:rsidRDefault="001648F4" w:rsidP="004532D8"/>
    <w:p w14:paraId="229B7E5A" w14:textId="0EF01318" w:rsidR="001648F4" w:rsidRDefault="00656661" w:rsidP="00732CC7">
      <w:r w:rsidRPr="00656661">
        <w:t xml:space="preserve">The cost estimate at each project stage should be retained for historical record, and for the “Before and </w:t>
      </w:r>
      <w:proofErr w:type="gramStart"/>
      <w:r w:rsidRPr="00656661">
        <w:t>After</w:t>
      </w:r>
      <w:proofErr w:type="gramEnd"/>
      <w:r w:rsidRPr="00656661">
        <w:t>” repor</w:t>
      </w:r>
      <w:r w:rsidR="005379B4">
        <w:t>t (refer to MP 27 Before and After Study.)</w:t>
      </w:r>
      <w:r w:rsidRPr="00656661">
        <w:t xml:space="preserve">  </w:t>
      </w:r>
      <w:r w:rsidR="001648F4">
        <w:t xml:space="preserve">Refer to MP 34 Project Schedule and MP 33 Cost Estimating for information </w:t>
      </w:r>
      <w:r w:rsidR="009E72DF">
        <w:t xml:space="preserve">on the kind of schedule and cost estimate required for various </w:t>
      </w:r>
      <w:r>
        <w:t xml:space="preserve">project </w:t>
      </w:r>
      <w:r w:rsidR="001648F4">
        <w:t>stage</w:t>
      </w:r>
      <w:r>
        <w:t xml:space="preserve">s.  </w:t>
      </w:r>
      <w:r w:rsidR="001648F4">
        <w:t xml:space="preserve">Note however, that </w:t>
      </w:r>
      <w:r w:rsidR="009E72DF">
        <w:t xml:space="preserve">for </w:t>
      </w:r>
      <w:r w:rsidR="001648F4">
        <w:t xml:space="preserve">all stages, the cost estimate should be </w:t>
      </w:r>
      <w:r w:rsidR="00FA117E">
        <w:t xml:space="preserve">expressed as a range </w:t>
      </w:r>
      <w:r w:rsidR="009E72DF">
        <w:t xml:space="preserve">(low, medium, high) </w:t>
      </w:r>
      <w:r w:rsidR="00FA117E">
        <w:t xml:space="preserve">of </w:t>
      </w:r>
      <w:r w:rsidR="00FA117E" w:rsidRPr="00FA117E">
        <w:t>potential project cost</w:t>
      </w:r>
      <w:r w:rsidR="00FA117E">
        <w:t xml:space="preserve">, </w:t>
      </w:r>
      <w:r w:rsidR="001648F4">
        <w:t xml:space="preserve">in </w:t>
      </w:r>
      <w:r w:rsidR="001648F4" w:rsidRPr="001648F4">
        <w:t>Year of Expenditure (YOE) dollars</w:t>
      </w:r>
      <w:r w:rsidR="009E72DF">
        <w:t xml:space="preserve">, and include costs for the following:  </w:t>
      </w:r>
    </w:p>
    <w:p w14:paraId="412D0BF3" w14:textId="77777777" w:rsidR="00656661" w:rsidRDefault="00656661" w:rsidP="00732CC7"/>
    <w:p w14:paraId="6E54227C" w14:textId="77777777" w:rsidR="009E72DF" w:rsidRDefault="009E72DF" w:rsidP="00732CC7">
      <w:pPr>
        <w:pStyle w:val="ListParagraph"/>
        <w:numPr>
          <w:ilvl w:val="0"/>
          <w:numId w:val="34"/>
        </w:numPr>
      </w:pPr>
      <w:r>
        <w:t>Construction</w:t>
      </w:r>
      <w:r w:rsidR="001648F4">
        <w:t xml:space="preserve">, real estate, vehicles, third party </w:t>
      </w:r>
      <w:r>
        <w:t xml:space="preserve">and </w:t>
      </w:r>
      <w:r w:rsidR="001648F4">
        <w:t>force account work</w:t>
      </w:r>
    </w:p>
    <w:p w14:paraId="51E3DB5F" w14:textId="4F67644D" w:rsidR="001648F4" w:rsidRDefault="00656661" w:rsidP="00732CC7">
      <w:pPr>
        <w:pStyle w:val="ListParagraph"/>
        <w:numPr>
          <w:ilvl w:val="0"/>
          <w:numId w:val="34"/>
        </w:numPr>
      </w:pPr>
      <w:r>
        <w:t>When applicable, c</w:t>
      </w:r>
      <w:r w:rsidR="009E72DF">
        <w:t>onstruction in the context of an operating railroad, including s</w:t>
      </w:r>
      <w:r w:rsidR="001648F4">
        <w:t xml:space="preserve">hutdowns, rerouting, overtime, and </w:t>
      </w:r>
      <w:r w:rsidR="009E72DF">
        <w:t xml:space="preserve">work </w:t>
      </w:r>
      <w:r w:rsidR="001648F4">
        <w:t xml:space="preserve">acceleration </w:t>
      </w:r>
    </w:p>
    <w:p w14:paraId="40B08FE1" w14:textId="77777777" w:rsidR="00656661" w:rsidRPr="00656661" w:rsidRDefault="00656661" w:rsidP="00656661">
      <w:pPr>
        <w:pStyle w:val="ListParagraph"/>
        <w:numPr>
          <w:ilvl w:val="0"/>
          <w:numId w:val="34"/>
        </w:numPr>
      </w:pPr>
      <w:r w:rsidRPr="00656661">
        <w:t>Professional services for the various phases of development and construction</w:t>
      </w:r>
    </w:p>
    <w:p w14:paraId="2D639D09" w14:textId="24F54412" w:rsidR="001648F4" w:rsidRDefault="00656661" w:rsidP="00732CC7">
      <w:pPr>
        <w:pStyle w:val="ListParagraph"/>
        <w:numPr>
          <w:ilvl w:val="0"/>
          <w:numId w:val="34"/>
        </w:numPr>
      </w:pPr>
      <w:r>
        <w:t>F</w:t>
      </w:r>
      <w:r w:rsidR="001648F4" w:rsidRPr="001648F4">
        <w:t>inanc</w:t>
      </w:r>
      <w:r w:rsidR="009E72DF">
        <w:t>ing</w:t>
      </w:r>
    </w:p>
    <w:p w14:paraId="2661F5DD" w14:textId="77777777" w:rsidR="005379B4" w:rsidRDefault="005379B4" w:rsidP="005379B4">
      <w:pPr>
        <w:pStyle w:val="ListParagraph"/>
        <w:numPr>
          <w:ilvl w:val="0"/>
          <w:numId w:val="34"/>
        </w:numPr>
      </w:pPr>
      <w:r>
        <w:t>I</w:t>
      </w:r>
      <w:r w:rsidRPr="001648F4">
        <w:t>nflation</w:t>
      </w:r>
      <w:r>
        <w:t xml:space="preserve"> -- the </w:t>
      </w:r>
      <w:r w:rsidRPr="001648F4">
        <w:t xml:space="preserve">incremental </w:t>
      </w:r>
      <w:r>
        <w:t xml:space="preserve">increase </w:t>
      </w:r>
      <w:r w:rsidRPr="001648F4">
        <w:t xml:space="preserve">in the cost </w:t>
      </w:r>
      <w:r>
        <w:t>of goods and services over time</w:t>
      </w:r>
    </w:p>
    <w:p w14:paraId="618C2DB8" w14:textId="0D2DF604" w:rsidR="001648F4" w:rsidRDefault="00656661" w:rsidP="00732CC7">
      <w:pPr>
        <w:pStyle w:val="ListParagraph"/>
        <w:numPr>
          <w:ilvl w:val="0"/>
          <w:numId w:val="34"/>
        </w:numPr>
      </w:pPr>
      <w:r>
        <w:t>A</w:t>
      </w:r>
      <w:r w:rsidR="001648F4" w:rsidRPr="001648F4">
        <w:t>llocated and unallocated contingenc</w:t>
      </w:r>
      <w:r w:rsidR="009E72DF">
        <w:t>ies for risks and unknowns</w:t>
      </w:r>
    </w:p>
    <w:p w14:paraId="7E8C9B60" w14:textId="2D750064" w:rsidR="00656661" w:rsidRPr="001648F4" w:rsidRDefault="00656661" w:rsidP="00656661">
      <w:pPr>
        <w:pStyle w:val="ListParagraph"/>
        <w:numPr>
          <w:ilvl w:val="1"/>
          <w:numId w:val="34"/>
        </w:numPr>
      </w:pPr>
      <w:r>
        <w:t>Refer to MP 40 Risk and Contingency Review for more information.  The Grantee is responsible for cost increases and for fulfilling the terms of the grant agreement with FRA.  Reduced service, delayed construction, or reductions in project scope are not acceptable contingencies.</w:t>
      </w:r>
    </w:p>
    <w:p w14:paraId="2564FFDA" w14:textId="77777777" w:rsidR="001648F4" w:rsidRDefault="001648F4" w:rsidP="00732CC7"/>
    <w:p w14:paraId="700A59DF" w14:textId="42FBCD26" w:rsidR="009E72DF" w:rsidRDefault="00656661" w:rsidP="00656661">
      <w:r>
        <w:t>For all stages, a</w:t>
      </w:r>
      <w:r w:rsidR="009E72DF">
        <w:t xml:space="preserve"> narrative should accompany the cost estimate to </w:t>
      </w:r>
      <w:r>
        <w:t xml:space="preserve">describe the estimating </w:t>
      </w:r>
      <w:r w:rsidR="009E72DF">
        <w:t>methodology</w:t>
      </w:r>
      <w:r>
        <w:t xml:space="preserve"> for p</w:t>
      </w:r>
      <w:r w:rsidR="009E72DF">
        <w:t>roject elements</w:t>
      </w:r>
      <w:r>
        <w:t xml:space="preserve"> or units, inflation, i</w:t>
      </w:r>
      <w:r w:rsidR="001648F4">
        <w:t>nterest rate forecasts for borrowing and earning</w:t>
      </w:r>
      <w:r>
        <w:t>, and i</w:t>
      </w:r>
      <w:r w:rsidR="009E72DF">
        <w:t>n-kind contributions</w:t>
      </w:r>
      <w:r>
        <w:t>.</w:t>
      </w:r>
    </w:p>
    <w:p w14:paraId="1E03D8DA" w14:textId="77777777" w:rsidR="001648F4" w:rsidRDefault="001648F4" w:rsidP="00732CC7"/>
    <w:p w14:paraId="483DED94" w14:textId="21A4C1AE" w:rsidR="001648F4" w:rsidRDefault="004B2F11" w:rsidP="00FA117E">
      <w:r>
        <w:t>Funding:</w:t>
      </w:r>
    </w:p>
    <w:p w14:paraId="56554E2C" w14:textId="77777777" w:rsidR="004B2F11" w:rsidRDefault="004B2F11" w:rsidP="00FA117E"/>
    <w:p w14:paraId="48A705EE" w14:textId="2D50F990" w:rsidR="004B2F11" w:rsidRDefault="004B2F11" w:rsidP="00732CC7">
      <w:r>
        <w:t xml:space="preserve">The project capital plan identifies the proposed sources of funds for </w:t>
      </w:r>
      <w:r w:rsidR="00656661">
        <w:t xml:space="preserve">designing and </w:t>
      </w:r>
      <w:r>
        <w:t>constructing the project</w:t>
      </w:r>
      <w:r w:rsidR="00656661">
        <w:t xml:space="preserve"> and indicates the de</w:t>
      </w:r>
      <w:r>
        <w:t xml:space="preserve">gree of commitment of each </w:t>
      </w:r>
      <w:r w:rsidR="00B85801">
        <w:t xml:space="preserve">non-federal </w:t>
      </w:r>
      <w:r w:rsidR="00656661">
        <w:t xml:space="preserve">funding source.  </w:t>
      </w:r>
      <w:r>
        <w:t xml:space="preserve">At the completion of </w:t>
      </w:r>
      <w:r w:rsidR="005379B4">
        <w:t>p</w:t>
      </w:r>
      <w:r>
        <w:t xml:space="preserve">lanning, the financial plan must identify a “realistic” strategy for providing </w:t>
      </w:r>
      <w:r w:rsidR="00656661">
        <w:t>non-federal “</w:t>
      </w:r>
      <w:r>
        <w:t>matching</w:t>
      </w:r>
      <w:r w:rsidR="00656661">
        <w:t>”</w:t>
      </w:r>
      <w:r>
        <w:t xml:space="preserve"> funds.  </w:t>
      </w:r>
      <w:r w:rsidR="005379B4" w:rsidRPr="005379B4">
        <w:t xml:space="preserve">As the project advances, the level of commitment of non-federal funds must increase. </w:t>
      </w:r>
      <w:r w:rsidR="00F35926">
        <w:t xml:space="preserve"> </w:t>
      </w:r>
      <w:r w:rsidR="00F35926" w:rsidRPr="00F35926">
        <w:t xml:space="preserve">Prior to initiation of final design, the Grantee is expected to have non-federal funds committed to complete </w:t>
      </w:r>
      <w:r w:rsidR="00F35926">
        <w:t xml:space="preserve">project </w:t>
      </w:r>
      <w:r w:rsidR="00F35926" w:rsidRPr="00F35926">
        <w:t xml:space="preserve">construction. Prior to initiation of construction, the Grantee is expected to have all funds committed for construction and </w:t>
      </w:r>
      <w:r w:rsidR="00F35926">
        <w:t xml:space="preserve">funds </w:t>
      </w:r>
      <w:r w:rsidR="00F35926" w:rsidRPr="00F35926">
        <w:t xml:space="preserve">to support operation, maintenance, and necessary recapitalization for the first twenty years of operation.   </w:t>
      </w:r>
    </w:p>
    <w:p w14:paraId="2B73836A" w14:textId="77777777" w:rsidR="004B2F11" w:rsidRDefault="004B2F11" w:rsidP="00FA117E">
      <w:pPr>
        <w:ind w:left="720"/>
      </w:pPr>
    </w:p>
    <w:p w14:paraId="09854D48" w14:textId="4A1EC37B" w:rsidR="004B2F11" w:rsidRDefault="00656661" w:rsidP="00732CC7">
      <w:r>
        <w:t>As shown in Table 1 below, e</w:t>
      </w:r>
      <w:r w:rsidR="004B2F11" w:rsidRPr="004B2F11">
        <w:t>vidence of commitment may include legislative documentation, resolutions approving funding, account balances, a bonding prospectus and agency debt covenants, signed joint development agreements</w:t>
      </w:r>
      <w:r w:rsidR="00B85801">
        <w:t>,</w:t>
      </w:r>
      <w:r w:rsidR="004B2F11" w:rsidRPr="004B2F11">
        <w:t xml:space="preserve"> or legally b</w:t>
      </w:r>
      <w:r w:rsidR="004B2F11">
        <w:t xml:space="preserve">inding agreements by State and other </w:t>
      </w:r>
      <w:r w:rsidR="004B2F11" w:rsidRPr="004B2F11">
        <w:t xml:space="preserve">agencies </w:t>
      </w:r>
      <w:r w:rsidR="004B2F11">
        <w:t xml:space="preserve">to </w:t>
      </w:r>
      <w:r w:rsidR="004B2F11" w:rsidRPr="004B2F11">
        <w:t xml:space="preserve">commit funds.  </w:t>
      </w:r>
    </w:p>
    <w:p w14:paraId="3AF88B83" w14:textId="77777777" w:rsidR="004B2F11" w:rsidRDefault="004B2F11" w:rsidP="00FA117E">
      <w:pPr>
        <w:ind w:left="720"/>
      </w:pPr>
    </w:p>
    <w:p w14:paraId="0EB1EF18" w14:textId="77777777" w:rsidR="00F35926" w:rsidRDefault="00F35926" w:rsidP="00732CC7">
      <w:pPr>
        <w:rPr>
          <w:i/>
        </w:rPr>
      </w:pPr>
    </w:p>
    <w:p w14:paraId="3EA110FD" w14:textId="77777777" w:rsidR="00790C74" w:rsidRDefault="00790C74" w:rsidP="00732CC7">
      <w:pPr>
        <w:rPr>
          <w:i/>
        </w:rPr>
      </w:pPr>
      <w:bookmarkStart w:id="0" w:name="_GoBack"/>
      <w:bookmarkEnd w:id="0"/>
    </w:p>
    <w:p w14:paraId="1652519A" w14:textId="77777777" w:rsidR="00F35926" w:rsidRDefault="00F35926">
      <w:pPr>
        <w:spacing w:after="200" w:line="276" w:lineRule="auto"/>
        <w:rPr>
          <w:i/>
        </w:rPr>
      </w:pPr>
      <w:r>
        <w:rPr>
          <w:i/>
        </w:rPr>
        <w:br w:type="page"/>
      </w:r>
    </w:p>
    <w:p w14:paraId="6C0D0404" w14:textId="5B2E3273" w:rsidR="004B2F11" w:rsidRDefault="004B2F11" w:rsidP="00732CC7">
      <w:pPr>
        <w:rPr>
          <w:i/>
        </w:rPr>
      </w:pPr>
      <w:r w:rsidRPr="004B2F11">
        <w:rPr>
          <w:i/>
        </w:rPr>
        <w:lastRenderedPageBreak/>
        <w:t>Table 1: Sources of Capital Funds, Year of Expenditure Dollars (Millions)</w:t>
      </w:r>
    </w:p>
    <w:p w14:paraId="4F986B35" w14:textId="77777777" w:rsidR="00F35926" w:rsidRDefault="00F35926" w:rsidP="00732CC7">
      <w:pPr>
        <w:rPr>
          <w:i/>
        </w:rPr>
      </w:pPr>
    </w:p>
    <w:p w14:paraId="3611E3B0" w14:textId="4A6F9994" w:rsidR="00F35926" w:rsidRDefault="00F35926" w:rsidP="00732CC7">
      <w:pPr>
        <w:rPr>
          <w:i/>
        </w:rPr>
      </w:pPr>
      <w:r w:rsidRPr="00F35926">
        <w:rPr>
          <w:noProof/>
        </w:rPr>
        <w:drawing>
          <wp:inline distT="0" distB="0" distL="0" distR="0" wp14:anchorId="37B1B492" wp14:editId="4438BC31">
            <wp:extent cx="5010150" cy="259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2592618"/>
                    </a:xfrm>
                    <a:prstGeom prst="rect">
                      <a:avLst/>
                    </a:prstGeom>
                    <a:noFill/>
                    <a:ln>
                      <a:noFill/>
                    </a:ln>
                  </pic:spPr>
                </pic:pic>
              </a:graphicData>
            </a:graphic>
          </wp:inline>
        </w:drawing>
      </w:r>
    </w:p>
    <w:p w14:paraId="4A6B4892" w14:textId="77777777" w:rsidR="00732CC7" w:rsidRPr="004B2F11" w:rsidRDefault="00732CC7" w:rsidP="00732CC7">
      <w:pPr>
        <w:rPr>
          <w:i/>
        </w:rPr>
      </w:pPr>
    </w:p>
    <w:p w14:paraId="269D72D7" w14:textId="19680489" w:rsidR="00FA117E" w:rsidRPr="00FA117E" w:rsidRDefault="00F35926" w:rsidP="00732CC7">
      <w:r>
        <w:t>A n</w:t>
      </w:r>
      <w:r w:rsidR="005379B4">
        <w:t xml:space="preserve">arrative </w:t>
      </w:r>
      <w:r w:rsidR="00B85801">
        <w:t xml:space="preserve">should </w:t>
      </w:r>
      <w:r w:rsidR="00FA117E" w:rsidRPr="00FA117E">
        <w:t>accompany</w:t>
      </w:r>
      <w:r w:rsidR="00B85801">
        <w:t xml:space="preserve"> </w:t>
      </w:r>
      <w:r w:rsidR="00656661">
        <w:t>such</w:t>
      </w:r>
      <w:r w:rsidR="00B85801">
        <w:t xml:space="preserve"> </w:t>
      </w:r>
      <w:r w:rsidR="0043210A">
        <w:t xml:space="preserve">a </w:t>
      </w:r>
      <w:r w:rsidR="00B85801">
        <w:t xml:space="preserve">table to describe each fund source -- </w:t>
      </w:r>
      <w:r w:rsidR="00FA117E" w:rsidRPr="00FA117E">
        <w:t>the name, origin</w:t>
      </w:r>
      <w:r w:rsidR="00B85801">
        <w:t>s,</w:t>
      </w:r>
      <w:r w:rsidR="00FA117E" w:rsidRPr="00FA117E">
        <w:t xml:space="preserve"> dollar amount anticipated, amount currently expended, and share of total project capital costs in year-of-expenditure dollars. The total dollar amount across funding sources </w:t>
      </w:r>
      <w:r w:rsidR="00B85801">
        <w:t>should sum</w:t>
      </w:r>
      <w:r w:rsidR="00FA117E" w:rsidRPr="00FA117E">
        <w:t xml:space="preserve"> to the project’s total capital cost.</w:t>
      </w:r>
    </w:p>
    <w:p w14:paraId="014B7175" w14:textId="77777777" w:rsidR="00FA117E" w:rsidRPr="00FA117E" w:rsidRDefault="00FA117E" w:rsidP="00FA117E"/>
    <w:p w14:paraId="464C56B1" w14:textId="35A5C0F3" w:rsidR="00FA117E" w:rsidRDefault="00FA117E" w:rsidP="00FA117E">
      <w:r w:rsidRPr="00FA117E">
        <w:t>Funding Source Forecasts</w:t>
      </w:r>
      <w:r>
        <w:t>:</w:t>
      </w:r>
    </w:p>
    <w:p w14:paraId="0C19C0CF" w14:textId="77777777" w:rsidR="00FA117E" w:rsidRPr="00FA117E" w:rsidRDefault="00FA117E" w:rsidP="00FA117E"/>
    <w:p w14:paraId="1D05C251" w14:textId="5D8D92D5" w:rsidR="00FA117E" w:rsidRDefault="00FA117E" w:rsidP="00732CC7">
      <w:r w:rsidRPr="00FA117E">
        <w:t xml:space="preserve">For each funding source, the plan </w:t>
      </w:r>
      <w:r w:rsidR="00B85801">
        <w:t xml:space="preserve">should </w:t>
      </w:r>
      <w:r w:rsidRPr="00FA117E">
        <w:t>indicate whether the source exist</w:t>
      </w:r>
      <w:r w:rsidR="00B85801">
        <w:t>s</w:t>
      </w:r>
      <w:r w:rsidRPr="00FA117E">
        <w:t xml:space="preserve">, such as an active </w:t>
      </w:r>
      <w:r>
        <w:t>regional or State</w:t>
      </w:r>
      <w:r w:rsidRPr="00FA117E">
        <w:t xml:space="preserve"> tax from which revenues are currently collected, or a new source requiring legislative approval, referendum, or other governmental action.  For existing sources, the plan </w:t>
      </w:r>
      <w:r w:rsidR="00B85801">
        <w:t xml:space="preserve">should </w:t>
      </w:r>
      <w:r w:rsidRPr="00FA117E">
        <w:t>outline the conditions of the funding agreement (e.g., funding formula, percent share of total revenues, etc.) and at least five years of historical revenue dat</w:t>
      </w:r>
      <w:r>
        <w:t xml:space="preserve">a.  </w:t>
      </w:r>
      <w:r w:rsidRPr="00FA117E">
        <w:t>For major funding sources</w:t>
      </w:r>
      <w:r w:rsidR="00B85801">
        <w:t xml:space="preserve"> to the project</w:t>
      </w:r>
      <w:r>
        <w:t xml:space="preserve">, </w:t>
      </w:r>
      <w:r w:rsidRPr="00FA117E">
        <w:t xml:space="preserve">the plan </w:t>
      </w:r>
      <w:r w:rsidR="00B85801">
        <w:t xml:space="preserve">should </w:t>
      </w:r>
      <w:r w:rsidRPr="00FA117E">
        <w:t>include 10 years of historical revenue</w:t>
      </w:r>
      <w:r>
        <w:t xml:space="preserve"> </w:t>
      </w:r>
      <w:r w:rsidRPr="00FA117E">
        <w:t xml:space="preserve">data.  For new sources, the plan </w:t>
      </w:r>
      <w:r w:rsidR="00B85801">
        <w:t xml:space="preserve">should </w:t>
      </w:r>
      <w:r w:rsidRPr="00FA117E">
        <w:t>indicate when legislative approval or public referendum is expected and the date the source w</w:t>
      </w:r>
      <w:r w:rsidR="00B85801">
        <w:t>ill</w:t>
      </w:r>
      <w:r w:rsidRPr="00FA117E">
        <w:t xml:space="preserve"> become effective.  For all sources, the plan</w:t>
      </w:r>
      <w:r w:rsidR="00B85801">
        <w:t xml:space="preserve"> must </w:t>
      </w:r>
      <w:r w:rsidR="00656661">
        <w:t xml:space="preserve">include </w:t>
      </w:r>
      <w:r w:rsidR="001933D1" w:rsidRPr="001933D1">
        <w:t>a 20-year revenue forecast</w:t>
      </w:r>
      <w:r w:rsidR="001933D1">
        <w:t xml:space="preserve">.  The forecast should be supported by documents from the fund source, highlighting </w:t>
      </w:r>
      <w:r>
        <w:t>sunset clauses, and provisions to cover project funding beyond the sunset date.</w:t>
      </w:r>
    </w:p>
    <w:p w14:paraId="00FC7193" w14:textId="77777777" w:rsidR="00FA117E" w:rsidRDefault="00FA117E" w:rsidP="00FA117E">
      <w:pPr>
        <w:ind w:left="720"/>
      </w:pPr>
    </w:p>
    <w:p w14:paraId="12EFF594" w14:textId="72CF3241" w:rsidR="00FA117E" w:rsidRDefault="00FA117E" w:rsidP="001933D1">
      <w:r>
        <w:t xml:space="preserve">For all revenue projections, the financial plan </w:t>
      </w:r>
      <w:r w:rsidR="00B85801">
        <w:t xml:space="preserve">should </w:t>
      </w:r>
      <w:r>
        <w:t xml:space="preserve">use conservative rates of growth that do not exceed historical experience for that source.  </w:t>
      </w:r>
    </w:p>
    <w:p w14:paraId="441D4326" w14:textId="77777777" w:rsidR="005379B4" w:rsidRDefault="005379B4" w:rsidP="00FA117E"/>
    <w:p w14:paraId="1AACEBFC" w14:textId="559B8EA9" w:rsidR="00FA117E" w:rsidRDefault="00FA117E" w:rsidP="00FA117E">
      <w:r>
        <w:t>Borrowing, Debt Levels and Ratings:</w:t>
      </w:r>
    </w:p>
    <w:p w14:paraId="76E5E561" w14:textId="77777777" w:rsidR="00FA117E" w:rsidRDefault="00FA117E" w:rsidP="00FA117E">
      <w:pPr>
        <w:ind w:left="720"/>
      </w:pPr>
    </w:p>
    <w:p w14:paraId="6C9DBB56" w14:textId="5C23C8BD" w:rsidR="00FA117E" w:rsidRDefault="00FA117E" w:rsidP="00732CC7">
      <w:r>
        <w:t>If the plan includes debt, a debt proceeds and service plan should be included</w:t>
      </w:r>
      <w:r w:rsidR="00656661">
        <w:t xml:space="preserve"> to show </w:t>
      </w:r>
      <w:r>
        <w:t>outstanding debt levels, the gross amount of each debt issuance, net proceeds from each issuance, bond rating for each issuance, debt service requirements, and interest rates</w:t>
      </w:r>
      <w:r w:rsidR="00656661">
        <w:t xml:space="preserve">.  The period includes </w:t>
      </w:r>
      <w:r>
        <w:t xml:space="preserve">the past five years and 20 years into the future.  </w:t>
      </w:r>
      <w:r w:rsidR="00656661">
        <w:t xml:space="preserve">On at least a yearly basis, the Grantee should monitor and update the debt information against the Grantee agency’s </w:t>
      </w:r>
      <w:r>
        <w:t>most restrictive debt covenant</w:t>
      </w:r>
      <w:r w:rsidR="00656661">
        <w:t>s</w:t>
      </w:r>
      <w:r>
        <w:t xml:space="preserve">, such as debt service ratio </w:t>
      </w:r>
      <w:r>
        <w:lastRenderedPageBreak/>
        <w:t>requirements, outstanding debt ceiling, or limits on debt expenditures during a specific time period</w:t>
      </w:r>
      <w:r w:rsidR="00656661">
        <w:t xml:space="preserve">, and should include </w:t>
      </w:r>
      <w:r>
        <w:t>the most recent bonding prospectus as supporting documentation.</w:t>
      </w:r>
    </w:p>
    <w:p w14:paraId="694ECD60" w14:textId="77777777" w:rsidR="001933D1" w:rsidRDefault="001933D1" w:rsidP="00732CC7"/>
    <w:p w14:paraId="515A7A8D" w14:textId="163142EF" w:rsidR="001933D1" w:rsidRDefault="00F6150C" w:rsidP="001933D1">
      <w:r>
        <w:t xml:space="preserve">Ref. Table 7 below.  </w:t>
      </w:r>
      <w:r w:rsidR="001933D1" w:rsidRPr="001933D1">
        <w:t>Using the 5 + 20 timeframe</w:t>
      </w:r>
      <w:r w:rsidR="001933D1">
        <w:t>, th</w:t>
      </w:r>
      <w:r w:rsidR="001933D1" w:rsidRPr="00732CC7">
        <w:t xml:space="preserve">e project capital plan </w:t>
      </w:r>
      <w:r w:rsidR="001933D1">
        <w:t xml:space="preserve">includes for </w:t>
      </w:r>
      <w:r w:rsidR="001933D1" w:rsidRPr="00656661">
        <w:t>each existing, planned</w:t>
      </w:r>
      <w:r w:rsidR="001933D1">
        <w:t>, and proposed</w:t>
      </w:r>
      <w:r w:rsidR="001933D1" w:rsidRPr="00656661">
        <w:t xml:space="preserve"> projec</w:t>
      </w:r>
      <w:r w:rsidR="001933D1">
        <w:t xml:space="preserve">t, the </w:t>
      </w:r>
      <w:r w:rsidR="001933D1" w:rsidRPr="00656661">
        <w:t>project name</w:t>
      </w:r>
      <w:r w:rsidR="001933D1">
        <w:t xml:space="preserve">, </w:t>
      </w:r>
      <w:r w:rsidR="001933D1" w:rsidRPr="00656661">
        <w:t>description, capital cost</w:t>
      </w:r>
      <w:r w:rsidR="001933D1">
        <w:t xml:space="preserve">, </w:t>
      </w:r>
      <w:r w:rsidR="001933D1" w:rsidRPr="00656661">
        <w:t xml:space="preserve">schedule, and </w:t>
      </w:r>
      <w:r w:rsidR="001933D1" w:rsidRPr="00732CC7">
        <w:t xml:space="preserve">detailed </w:t>
      </w:r>
      <w:r w:rsidR="001933D1">
        <w:t>breakdown of funding sources is included</w:t>
      </w:r>
      <w:r>
        <w:t xml:space="preserve">. </w:t>
      </w:r>
      <w:r w:rsidR="001933D1">
        <w:t xml:space="preserve"> A</w:t>
      </w:r>
      <w:r w:rsidR="001933D1" w:rsidRPr="005379B4">
        <w:t xml:space="preserve"> narrative should accompany </w:t>
      </w:r>
      <w:r w:rsidR="001933D1">
        <w:t xml:space="preserve">the table that indicates for each fund source the level of commitment, </w:t>
      </w:r>
      <w:r w:rsidR="001933D1" w:rsidRPr="00AE1B38">
        <w:t>schedule for availability,</w:t>
      </w:r>
      <w:r w:rsidR="001933D1">
        <w:t xml:space="preserve"> and</w:t>
      </w:r>
      <w:r w:rsidR="001933D1" w:rsidRPr="00AE1B38">
        <w:t xml:space="preserve"> financing arrangements</w:t>
      </w:r>
      <w:r w:rsidR="001933D1">
        <w:t xml:space="preserve">.  </w:t>
      </w:r>
    </w:p>
    <w:p w14:paraId="07193FF6" w14:textId="77777777" w:rsidR="00FA117E" w:rsidRDefault="00FA117E" w:rsidP="00656661"/>
    <w:p w14:paraId="2C2A7CC6" w14:textId="7B95075E" w:rsidR="001648F4" w:rsidRPr="001648F4" w:rsidRDefault="001648F4" w:rsidP="001648F4">
      <w:pPr>
        <w:rPr>
          <w:b/>
        </w:rPr>
      </w:pPr>
      <w:r w:rsidRPr="001648F4">
        <w:rPr>
          <w:b/>
        </w:rPr>
        <w:t>4.2.2</w:t>
      </w:r>
      <w:r w:rsidRPr="001648F4">
        <w:rPr>
          <w:b/>
        </w:rPr>
        <w:tab/>
        <w:t xml:space="preserve">Agency-Wide </w:t>
      </w:r>
      <w:r w:rsidR="005379B4">
        <w:rPr>
          <w:b/>
        </w:rPr>
        <w:t xml:space="preserve">Capital </w:t>
      </w:r>
      <w:r w:rsidRPr="001648F4">
        <w:rPr>
          <w:b/>
        </w:rPr>
        <w:t>Plan</w:t>
      </w:r>
    </w:p>
    <w:p w14:paraId="0010A591" w14:textId="77777777" w:rsidR="001648F4" w:rsidRDefault="001648F4" w:rsidP="001648F4"/>
    <w:p w14:paraId="7D592302" w14:textId="6BFB1E79" w:rsidR="00245501" w:rsidRDefault="00F6150C" w:rsidP="00245501">
      <w:r>
        <w:t xml:space="preserve">Ref. Table 8 below.  </w:t>
      </w:r>
      <w:r w:rsidR="00245501" w:rsidRPr="00732CC7">
        <w:t xml:space="preserve">The </w:t>
      </w:r>
      <w:r w:rsidR="005379B4">
        <w:t xml:space="preserve">above </w:t>
      </w:r>
      <w:r w:rsidR="00245501" w:rsidRPr="00732CC7">
        <w:t xml:space="preserve">project capital plan </w:t>
      </w:r>
      <w:r w:rsidR="00C634FF">
        <w:t>is</w:t>
      </w:r>
      <w:r w:rsidR="00245501" w:rsidRPr="00732CC7">
        <w:t xml:space="preserve"> incorporated into the agency- wide capital plan</w:t>
      </w:r>
      <w:r>
        <w:t xml:space="preserve">. </w:t>
      </w:r>
      <w:r w:rsidR="00245501" w:rsidRPr="00732CC7">
        <w:t>The major funding categorie</w:t>
      </w:r>
      <w:r w:rsidR="00656661">
        <w:t xml:space="preserve">s </w:t>
      </w:r>
      <w:r w:rsidR="00AE1B38">
        <w:t xml:space="preserve">are </w:t>
      </w:r>
      <w:r w:rsidR="00656661">
        <w:t xml:space="preserve">summarized in a 20-year </w:t>
      </w:r>
      <w:r w:rsidR="00245501" w:rsidRPr="00732CC7">
        <w:t>agency-wide capital plan projection</w:t>
      </w:r>
      <w:r>
        <w:t>.</w:t>
      </w:r>
      <w:r w:rsidR="00656661">
        <w:t xml:space="preserve"> </w:t>
      </w:r>
    </w:p>
    <w:p w14:paraId="4D207355" w14:textId="77777777" w:rsidR="00732CC7" w:rsidRDefault="00732CC7" w:rsidP="00245501"/>
    <w:p w14:paraId="6C18EE27" w14:textId="336EFB89" w:rsidR="00732CC7" w:rsidRPr="00732CC7" w:rsidRDefault="00732CC7" w:rsidP="00732CC7">
      <w:r w:rsidRPr="00732CC7">
        <w:t>A State-of-Good-Repair (SOGR) Plan</w:t>
      </w:r>
      <w:r w:rsidR="00656661">
        <w:t>:</w:t>
      </w:r>
    </w:p>
    <w:p w14:paraId="137542E9" w14:textId="77777777" w:rsidR="00732CC7" w:rsidRPr="00732CC7" w:rsidRDefault="00732CC7" w:rsidP="00732CC7"/>
    <w:p w14:paraId="58334BF9" w14:textId="1AEC7A6B" w:rsidR="002817F3" w:rsidRPr="00732CC7" w:rsidRDefault="00732CC7" w:rsidP="00C634FF">
      <w:r w:rsidRPr="00732CC7">
        <w:t>A state-of good-repair plan is a</w:t>
      </w:r>
      <w:r w:rsidR="00AE1B38">
        <w:t xml:space="preserve">n </w:t>
      </w:r>
      <w:r w:rsidRPr="00732CC7">
        <w:t xml:space="preserve">in-depth agency-wide </w:t>
      </w:r>
      <w:r w:rsidR="00656661">
        <w:t xml:space="preserve">capital </w:t>
      </w:r>
      <w:r w:rsidRPr="00732CC7">
        <w:t>plan</w:t>
      </w:r>
      <w:r w:rsidR="00AE1B38">
        <w:t>, focused</w:t>
      </w:r>
      <w:r w:rsidR="00656661">
        <w:t xml:space="preserve"> on improv</w:t>
      </w:r>
      <w:r w:rsidR="00AE1B38">
        <w:t>ing</w:t>
      </w:r>
      <w:r w:rsidR="00656661">
        <w:t xml:space="preserve"> </w:t>
      </w:r>
      <w:r w:rsidRPr="00732CC7">
        <w:t>the condition of existing transpo</w:t>
      </w:r>
      <w:r w:rsidR="00C634FF">
        <w:t xml:space="preserve">rtation facilities and systems and </w:t>
      </w:r>
      <w:r w:rsidRPr="00732CC7">
        <w:t>minimi</w:t>
      </w:r>
      <w:r w:rsidR="00C634FF">
        <w:t>zing</w:t>
      </w:r>
      <w:r w:rsidRPr="00732CC7">
        <w:t xml:space="preserve"> life-cycle costs</w:t>
      </w:r>
      <w:r w:rsidR="00C634FF">
        <w:t xml:space="preserve">. </w:t>
      </w:r>
      <w:r w:rsidRPr="00732CC7">
        <w:t xml:space="preserve">The SOGR plan requires a detailed inventory </w:t>
      </w:r>
      <w:r w:rsidR="005379B4">
        <w:t xml:space="preserve">of </w:t>
      </w:r>
      <w:r w:rsidRPr="00732CC7">
        <w:t>all agency assets for their condition and setting of target levels of repair for assets.  For existing assets, the goal is reduc</w:t>
      </w:r>
      <w:r w:rsidR="00656661">
        <w:t xml:space="preserve">tion of </w:t>
      </w:r>
      <w:r w:rsidRPr="00732CC7">
        <w:t xml:space="preserve">the backlog of assets requiring rehabilitation.  For new assets, the SOGR goal is </w:t>
      </w:r>
      <w:r w:rsidR="00656661">
        <w:t xml:space="preserve">achievement of </w:t>
      </w:r>
      <w:r w:rsidRPr="00732CC7">
        <w:t>the</w:t>
      </w:r>
      <w:r w:rsidR="00656661">
        <w:t xml:space="preserve"> </w:t>
      </w:r>
      <w:r w:rsidRPr="00732CC7">
        <w:t xml:space="preserve">optimal useful life, by identifying maintenance requirements at procurement or creation, and linking maintenance budgets to the intended level of service or performance.   </w:t>
      </w:r>
      <w:r w:rsidR="00C634FF">
        <w:t>Projects are p</w:t>
      </w:r>
      <w:r>
        <w:t>rioritiz</w:t>
      </w:r>
      <w:r w:rsidR="00C634FF">
        <w:t>ed</w:t>
      </w:r>
      <w:r w:rsidR="002817F3">
        <w:t xml:space="preserve"> </w:t>
      </w:r>
      <w:r w:rsidR="00656661">
        <w:t>according to criteri</w:t>
      </w:r>
      <w:r w:rsidR="00C634FF">
        <w:t>a such as</w:t>
      </w:r>
      <w:r w:rsidR="00656661">
        <w:t xml:space="preserve">: </w:t>
      </w:r>
    </w:p>
    <w:p w14:paraId="42F68266" w14:textId="56935A1E" w:rsidR="002817F3" w:rsidRPr="00732CC7" w:rsidRDefault="00C634FF" w:rsidP="00C634FF">
      <w:pPr>
        <w:pStyle w:val="ListParagraph"/>
        <w:numPr>
          <w:ilvl w:val="0"/>
          <w:numId w:val="34"/>
        </w:numPr>
      </w:pPr>
      <w:r>
        <w:t>C</w:t>
      </w:r>
      <w:r w:rsidR="002817F3" w:rsidRPr="00732CC7">
        <w:t>onsisten</w:t>
      </w:r>
      <w:r>
        <w:t>cy</w:t>
      </w:r>
      <w:r w:rsidR="00656661">
        <w:t xml:space="preserve"> </w:t>
      </w:r>
      <w:r w:rsidR="002817F3" w:rsidRPr="00732CC7">
        <w:t xml:space="preserve">with </w:t>
      </w:r>
      <w:r w:rsidR="002817F3">
        <w:t xml:space="preserve">SOGR </w:t>
      </w:r>
      <w:r w:rsidR="00AE1B38">
        <w:t>goals</w:t>
      </w:r>
      <w:r w:rsidR="002817F3" w:rsidRPr="00732CC7">
        <w:t xml:space="preserve">;  </w:t>
      </w:r>
    </w:p>
    <w:p w14:paraId="05F54EF6" w14:textId="62FA7AEC" w:rsidR="002817F3" w:rsidRPr="00732CC7" w:rsidRDefault="00656661" w:rsidP="00C634FF">
      <w:pPr>
        <w:pStyle w:val="ListParagraph"/>
        <w:numPr>
          <w:ilvl w:val="0"/>
          <w:numId w:val="34"/>
        </w:numPr>
      </w:pPr>
      <w:r>
        <w:t>I</w:t>
      </w:r>
      <w:r w:rsidR="002817F3" w:rsidRPr="00732CC7">
        <w:t>f</w:t>
      </w:r>
      <w:r w:rsidR="002817F3">
        <w:t xml:space="preserve"> left unimproved,  the poor asset c</w:t>
      </w:r>
      <w:r w:rsidR="002817F3" w:rsidRPr="00732CC7">
        <w:t xml:space="preserve">ondition will threaten </w:t>
      </w:r>
      <w:r w:rsidR="002817F3">
        <w:t xml:space="preserve">network efficiency, mobility, or </w:t>
      </w:r>
      <w:r w:rsidR="002817F3" w:rsidRPr="00732CC7">
        <w:t xml:space="preserve">economic growth; </w:t>
      </w:r>
    </w:p>
    <w:p w14:paraId="40198CEA" w14:textId="1B4D3BE5" w:rsidR="00C634FF" w:rsidRPr="00732CC7" w:rsidRDefault="00C634FF" w:rsidP="00C634FF">
      <w:pPr>
        <w:pStyle w:val="ListParagraph"/>
        <w:numPr>
          <w:ilvl w:val="0"/>
          <w:numId w:val="34"/>
        </w:numPr>
      </w:pPr>
      <w:r>
        <w:t xml:space="preserve">Contributes to the “level of aesthetic, innovation and user experience . . .” </w:t>
      </w:r>
      <w:r w:rsidRPr="00C634FF">
        <w:rPr>
          <w:vertAlign w:val="superscript"/>
        </w:rPr>
        <w:footnoteReference w:id="1"/>
      </w:r>
    </w:p>
    <w:p w14:paraId="2EE2E6EB" w14:textId="0B3C9E58" w:rsidR="002817F3" w:rsidRDefault="00C634FF" w:rsidP="00C634FF">
      <w:pPr>
        <w:pStyle w:val="ListParagraph"/>
        <w:numPr>
          <w:ilvl w:val="0"/>
          <w:numId w:val="34"/>
        </w:numPr>
      </w:pPr>
      <w:r>
        <w:t>Can b</w:t>
      </w:r>
      <w:r w:rsidR="00AE1B38">
        <w:t xml:space="preserve">e </w:t>
      </w:r>
      <w:r w:rsidR="002817F3" w:rsidRPr="00732CC7">
        <w:t xml:space="preserve">capitalized </w:t>
      </w:r>
      <w:r w:rsidR="00AE1B38">
        <w:t xml:space="preserve">and supported with </w:t>
      </w:r>
      <w:r w:rsidR="002817F3">
        <w:t>sustainable revenue for O&amp;M;</w:t>
      </w:r>
    </w:p>
    <w:p w14:paraId="7D936445" w14:textId="77777777" w:rsidR="00C634FF" w:rsidRDefault="00C634FF" w:rsidP="00C634FF">
      <w:pPr>
        <w:pStyle w:val="ListParagraph"/>
        <w:numPr>
          <w:ilvl w:val="0"/>
          <w:numId w:val="34"/>
        </w:numPr>
      </w:pPr>
      <w:r>
        <w:t>I</w:t>
      </w:r>
      <w:r w:rsidR="002817F3" w:rsidRPr="00732CC7">
        <w:t>mprove</w:t>
      </w:r>
      <w:r>
        <w:t>s</w:t>
      </w:r>
      <w:r w:rsidR="00656661">
        <w:t xml:space="preserve"> </w:t>
      </w:r>
      <w:r w:rsidR="00AE1B38">
        <w:t>system resiliency</w:t>
      </w:r>
      <w:r>
        <w:t>, ability t</w:t>
      </w:r>
      <w:r w:rsidR="00AE1B38">
        <w:t xml:space="preserve">o </w:t>
      </w:r>
      <w:r w:rsidR="002817F3">
        <w:t xml:space="preserve">withstand </w:t>
      </w:r>
      <w:r w:rsidR="002817F3" w:rsidRPr="00732CC7">
        <w:t>disaster</w:t>
      </w:r>
      <w:r w:rsidR="002817F3">
        <w:t>/</w:t>
      </w:r>
      <w:r w:rsidR="002817F3" w:rsidRPr="00732CC7">
        <w:t>climate change;</w:t>
      </w:r>
    </w:p>
    <w:p w14:paraId="2F717E4F" w14:textId="77777777" w:rsidR="00C634FF" w:rsidRDefault="00C634FF" w:rsidP="00C634FF">
      <w:pPr>
        <w:pStyle w:val="ListParagraph"/>
        <w:numPr>
          <w:ilvl w:val="0"/>
          <w:numId w:val="34"/>
        </w:numPr>
      </w:pPr>
      <w:r>
        <w:t>C</w:t>
      </w:r>
      <w:r w:rsidR="00656661">
        <w:t>ontribut</w:t>
      </w:r>
      <w:r>
        <w:t>es</w:t>
      </w:r>
      <w:r w:rsidR="002817F3" w:rsidRPr="00732CC7">
        <w:t xml:space="preserve"> to a multimodal transportation system</w:t>
      </w:r>
      <w:r>
        <w:t>;</w:t>
      </w:r>
    </w:p>
    <w:p w14:paraId="0D2992F3" w14:textId="77777777" w:rsidR="00C634FF" w:rsidRDefault="00C634FF" w:rsidP="00C634FF"/>
    <w:p w14:paraId="1584927C" w14:textId="205C55CD" w:rsidR="00732CC7" w:rsidRDefault="00C634FF" w:rsidP="00C634FF">
      <w:r>
        <w:t>V</w:t>
      </w:r>
      <w:r w:rsidR="00732CC7">
        <w:t>arious scenarios of priorities, costs, and funding</w:t>
      </w:r>
      <w:r>
        <w:t xml:space="preserve"> are then modeled, leading to the s</w:t>
      </w:r>
      <w:r w:rsidR="00732CC7" w:rsidRPr="004532D8">
        <w:t>e</w:t>
      </w:r>
      <w:r w:rsidR="00732CC7">
        <w:t>lection of a scenario</w:t>
      </w:r>
      <w:r>
        <w:t xml:space="preserve"> for implementation.</w:t>
      </w:r>
    </w:p>
    <w:p w14:paraId="20829B2E" w14:textId="77777777" w:rsidR="00C634FF" w:rsidRPr="00C634FF" w:rsidRDefault="00C634FF" w:rsidP="00C634FF">
      <w:pPr>
        <w:pStyle w:val="Heading2"/>
      </w:pPr>
      <w:r w:rsidRPr="00C634FF">
        <w:t>Operating and Maintenance (O&amp;M) Costs and Revenues</w:t>
      </w:r>
    </w:p>
    <w:p w14:paraId="12993AEF" w14:textId="1F48A2C7" w:rsidR="002E3C5B" w:rsidRDefault="002E3C5B" w:rsidP="002E3C5B">
      <w:pPr>
        <w:pStyle w:val="Heading3"/>
      </w:pPr>
      <w:r>
        <w:t xml:space="preserve">Project </w:t>
      </w:r>
      <w:r w:rsidR="005379B4">
        <w:t xml:space="preserve">Operating </w:t>
      </w:r>
      <w:r>
        <w:t>Plan</w:t>
      </w:r>
    </w:p>
    <w:p w14:paraId="51F46483" w14:textId="77777777" w:rsidR="00F35926" w:rsidRDefault="005379B4" w:rsidP="006A7DAF">
      <w:r>
        <w:t>T</w:t>
      </w:r>
      <w:r w:rsidR="006A7DAF">
        <w:t>h</w:t>
      </w:r>
      <w:r w:rsidR="00C634FF">
        <w:t xml:space="preserve">e operating plan </w:t>
      </w:r>
      <w:r w:rsidR="006A7DAF">
        <w:t>document</w:t>
      </w:r>
      <w:r w:rsidR="00C634FF">
        <w:t>s</w:t>
      </w:r>
      <w:r w:rsidR="006A7DAF">
        <w:t xml:space="preserve"> how the agency intends to fund the </w:t>
      </w:r>
      <w:r>
        <w:t xml:space="preserve">operations and maintenance of the </w:t>
      </w:r>
      <w:r w:rsidR="00C634FF">
        <w:t xml:space="preserve">proposed </w:t>
      </w:r>
      <w:r w:rsidR="006A7DAF">
        <w:t xml:space="preserve">project </w:t>
      </w:r>
      <w:r w:rsidR="002E3C5B">
        <w:t xml:space="preserve">while maintaining existing agency-wide levels of service. </w:t>
      </w:r>
      <w:r w:rsidR="006A7DAF">
        <w:t xml:space="preserve"> T</w:t>
      </w:r>
      <w:r w:rsidR="002E3C5B">
        <w:t>o demonstrate capability, t</w:t>
      </w:r>
      <w:r w:rsidR="006A7DAF">
        <w:t>h</w:t>
      </w:r>
      <w:r w:rsidR="002E3C5B">
        <w:t>is plan</w:t>
      </w:r>
      <w:r w:rsidR="006A7DAF">
        <w:t xml:space="preserve"> documents </w:t>
      </w:r>
      <w:r w:rsidR="002E3C5B" w:rsidRPr="002E3C5B">
        <w:t>operating revenues and O&amp;M costs</w:t>
      </w:r>
      <w:r w:rsidRPr="005379B4">
        <w:t xml:space="preserve"> </w:t>
      </w:r>
      <w:r>
        <w:t xml:space="preserve">in the </w:t>
      </w:r>
      <w:r w:rsidRPr="005379B4">
        <w:t>5 + 20 timeframe</w:t>
      </w:r>
      <w:r>
        <w:t xml:space="preserve">. </w:t>
      </w:r>
      <w:r w:rsidR="00F35926">
        <w:t xml:space="preserve"> </w:t>
      </w:r>
    </w:p>
    <w:p w14:paraId="296FB151" w14:textId="77777777" w:rsidR="00F35926" w:rsidRDefault="00F35926" w:rsidP="006A7DAF"/>
    <w:p w14:paraId="0FC09F9A" w14:textId="4934DBE2" w:rsidR="002E3C5B" w:rsidRDefault="00F35926" w:rsidP="006A7DAF">
      <w:r w:rsidRPr="00F35926">
        <w:lastRenderedPageBreak/>
        <w:t>Prior to initiation of construction, the Grantee is expected to have all funds committed for construction and to support operation, maintenance, and necessary recapitalization for the first twenty years of operation.</w:t>
      </w:r>
    </w:p>
    <w:p w14:paraId="7B93BF69" w14:textId="77777777" w:rsidR="002E3C5B" w:rsidRDefault="002E3C5B" w:rsidP="006A7DAF"/>
    <w:p w14:paraId="7C3A8A98" w14:textId="0321D3F6" w:rsidR="006A7DAF" w:rsidRDefault="006A7DAF" w:rsidP="006A7DAF">
      <w:r>
        <w:t>Operating Revenues</w:t>
      </w:r>
      <w:r w:rsidR="00C634FF">
        <w:t>:</w:t>
      </w:r>
    </w:p>
    <w:p w14:paraId="4C0F544C" w14:textId="77777777" w:rsidR="00C634FF" w:rsidRDefault="00C634FF" w:rsidP="006A7DAF"/>
    <w:p w14:paraId="700F3E45" w14:textId="053B3C3D" w:rsidR="002E3C5B" w:rsidRDefault="00F6150C" w:rsidP="006A7DAF">
      <w:r>
        <w:t xml:space="preserve">Ref. Table 9 below. </w:t>
      </w:r>
      <w:r w:rsidR="006A7DAF">
        <w:t>The operation and maintenance of the proposed project is likely to place additional burden on the agency’s funding sources.  Tran</w:t>
      </w:r>
      <w:r w:rsidR="002E3C5B">
        <w:t xml:space="preserve">sportation </w:t>
      </w:r>
      <w:r w:rsidR="006A7DAF">
        <w:t>agencies usually need to develop new funding sources or have existing sources that provide sufficient extra operating revenues to fund the proposed project.</w:t>
      </w:r>
      <w:r w:rsidR="00F35926">
        <w:t xml:space="preserve">  T</w:t>
      </w:r>
      <w:r w:rsidR="002E3C5B">
        <w:t xml:space="preserve">he plan should </w:t>
      </w:r>
      <w:r w:rsidR="005379B4">
        <w:t xml:space="preserve">show the agency’s fare </w:t>
      </w:r>
      <w:r w:rsidR="002E3C5B">
        <w:t>revenue</w:t>
      </w:r>
      <w:r w:rsidR="005379B4">
        <w:t xml:space="preserve">s from its existing system plus </w:t>
      </w:r>
      <w:r w:rsidR="002E3C5B">
        <w:t>fare</w:t>
      </w:r>
      <w:r w:rsidR="006A7DAF">
        <w:t xml:space="preserve"> revenue</w:t>
      </w:r>
      <w:r w:rsidR="002E3C5B">
        <w:t xml:space="preserve">s </w:t>
      </w:r>
      <w:r w:rsidR="006A7DAF">
        <w:t>for</w:t>
      </w:r>
      <w:r w:rsidR="005379B4">
        <w:t>ecasted for</w:t>
      </w:r>
      <w:r w:rsidR="006A7DAF">
        <w:t xml:space="preserve"> the proposed project</w:t>
      </w:r>
      <w:r w:rsidR="005379B4">
        <w:t xml:space="preserve">.  Fare revenues are based on </w:t>
      </w:r>
      <w:r w:rsidR="006A7DAF">
        <w:t>ridership forecasts and assum</w:t>
      </w:r>
      <w:r>
        <w:t xml:space="preserve">ed fare levels. </w:t>
      </w:r>
      <w:r w:rsidR="002E3C5B">
        <w:t xml:space="preserve"> </w:t>
      </w:r>
      <w:r w:rsidR="005379B4">
        <w:t xml:space="preserve">The plan should include </w:t>
      </w:r>
      <w:r w:rsidR="005379B4" w:rsidRPr="005379B4">
        <w:t xml:space="preserve">supporting documentation for the assumptions </w:t>
      </w:r>
      <w:r w:rsidR="002E3C5B" w:rsidRPr="002E3C5B">
        <w:t>used to develop the</w:t>
      </w:r>
      <w:r w:rsidR="002E3C5B">
        <w:t xml:space="preserve"> </w:t>
      </w:r>
      <w:r w:rsidR="002E3C5B" w:rsidRPr="002E3C5B">
        <w:t xml:space="preserve">forecasts.  Inflation assumptions </w:t>
      </w:r>
      <w:r w:rsidR="002E3C5B">
        <w:t>in r</w:t>
      </w:r>
      <w:r w:rsidR="002E3C5B" w:rsidRPr="002E3C5B">
        <w:t>evenue forecasts</w:t>
      </w:r>
      <w:r w:rsidR="002E3C5B">
        <w:t xml:space="preserve"> should be</w:t>
      </w:r>
      <w:r w:rsidR="002E3C5B" w:rsidRPr="002E3C5B">
        <w:t xml:space="preserve"> explicitly doc</w:t>
      </w:r>
      <w:r w:rsidR="002E3C5B">
        <w:t>umented. The plan should also do</w:t>
      </w:r>
      <w:r w:rsidR="002E3C5B" w:rsidRPr="002E3C5B">
        <w:t>cument</w:t>
      </w:r>
      <w:r w:rsidR="002E3C5B">
        <w:t xml:space="preserve"> </w:t>
      </w:r>
      <w:r w:rsidR="002E3C5B" w:rsidRPr="002E3C5B">
        <w:t xml:space="preserve">the </w:t>
      </w:r>
      <w:r w:rsidR="002E3C5B">
        <w:t xml:space="preserve">commitment of </w:t>
      </w:r>
      <w:r w:rsidR="002E3C5B" w:rsidRPr="002E3C5B">
        <w:t>proposed funds to their intended purpose.</w:t>
      </w:r>
    </w:p>
    <w:p w14:paraId="6CBB15E0" w14:textId="77777777" w:rsidR="002E3C5B" w:rsidRDefault="002E3C5B" w:rsidP="006A7DAF"/>
    <w:p w14:paraId="297865E1" w14:textId="77777777" w:rsidR="002E3C5B" w:rsidRDefault="002E3C5B" w:rsidP="002E3C5B">
      <w:r>
        <w:t>Operating Costs:</w:t>
      </w:r>
    </w:p>
    <w:p w14:paraId="3041C9BC" w14:textId="77777777" w:rsidR="002E3C5B" w:rsidRDefault="002E3C5B" w:rsidP="002E3C5B"/>
    <w:p w14:paraId="0C7F6EF3" w14:textId="4C82AF53" w:rsidR="002E3C5B" w:rsidRDefault="00F6150C" w:rsidP="002E3C5B">
      <w:r>
        <w:t xml:space="preserve">Ref. Table 10 below.  </w:t>
      </w:r>
      <w:r w:rsidR="00F35926">
        <w:t>T</w:t>
      </w:r>
      <w:r w:rsidR="002E3C5B">
        <w:t>he plan</w:t>
      </w:r>
      <w:r w:rsidR="005379B4">
        <w:t xml:space="preserve"> should show </w:t>
      </w:r>
      <w:r w:rsidR="002E3C5B">
        <w:t>that it has the financial capacity to cover additional O&amp;M costs for the proposed project without reducing existing service levels.  Impacts from the project to the existing operations, revenues and O&amp;M costs should be described.  The plan should includ</w:t>
      </w:r>
      <w:r w:rsidR="005379B4">
        <w:t>e s</w:t>
      </w:r>
      <w:r w:rsidR="002E3C5B">
        <w:t>upport</w:t>
      </w:r>
      <w:r w:rsidR="005379B4">
        <w:t xml:space="preserve">ing </w:t>
      </w:r>
      <w:r w:rsidR="002E3C5B">
        <w:t>information on service characteristics such as projected vehicle revenue miles, vehicles in service, and directional route miles, frequency of service</w:t>
      </w:r>
      <w:r>
        <w:t>.</w:t>
      </w:r>
      <w:r w:rsidR="002E3C5B">
        <w:t xml:space="preserve">  A narrative should explain the cost estimating methodology (including o</w:t>
      </w:r>
      <w:r w:rsidR="002E3C5B" w:rsidRPr="002E3C5B">
        <w:t xml:space="preserve">perating </w:t>
      </w:r>
      <w:r w:rsidR="00F35926">
        <w:t xml:space="preserve">and </w:t>
      </w:r>
      <w:r w:rsidR="002E3C5B" w:rsidRPr="002E3C5B">
        <w:t>maintenance labor, fuel, supplies, administration</w:t>
      </w:r>
      <w:r w:rsidR="002E3C5B">
        <w:t>, inflation assumptions, etc.), and the service plan (planned system-wide operating/service characteristics, and productivity assumptions) to demonstrate that revenues to cover the proposed project’s O&amp;M costs are not due to service reductions or deferred maintenance on the existing system.</w:t>
      </w:r>
    </w:p>
    <w:p w14:paraId="1AA2C32F" w14:textId="65E13607" w:rsidR="002E3C5B" w:rsidRDefault="002E3C5B" w:rsidP="002E3C5B">
      <w:pPr>
        <w:pStyle w:val="Heading3"/>
      </w:pPr>
      <w:r>
        <w:t xml:space="preserve">Agency-Wide </w:t>
      </w:r>
      <w:r w:rsidR="00414F8F">
        <w:t xml:space="preserve">Operating </w:t>
      </w:r>
      <w:r>
        <w:t>Plan</w:t>
      </w:r>
    </w:p>
    <w:p w14:paraId="65CA3D69" w14:textId="5A59F81C" w:rsidR="002E3C5B" w:rsidRDefault="00F6150C" w:rsidP="002E3C5B">
      <w:pPr>
        <w:sectPr w:rsidR="002E3C5B" w:rsidSect="00414F8F">
          <w:footerReference w:type="default" r:id="rId15"/>
          <w:pgSz w:w="12240" w:h="15840"/>
          <w:pgMar w:top="1440" w:right="1440" w:bottom="1440" w:left="1440" w:header="720" w:footer="720" w:gutter="0"/>
          <w:cols w:space="720"/>
          <w:docGrid w:linePitch="360"/>
        </w:sectPr>
      </w:pPr>
      <w:r>
        <w:t xml:space="preserve">Ref. Table 11 below.  </w:t>
      </w:r>
      <w:r w:rsidR="005379B4" w:rsidRPr="005379B4">
        <w:t xml:space="preserve">Using the 5 + 20 timeframe, </w:t>
      </w:r>
      <w:r w:rsidR="005379B4">
        <w:t>t</w:t>
      </w:r>
      <w:r w:rsidR="002E3C5B">
        <w:t>he project operating revenues and O&amp;M cost estimates are incorporated into the agency-wide operating plan.  The operating plan demonstrates that adequate additional funds are available to operate and maintain the proposed project and the rest of the system.  The operating plan calculates the additional cost to operate and maintain the proposed project and the availability of additional operating revenues to cover the additional cost</w:t>
      </w:r>
      <w:r>
        <w:t xml:space="preserve">. </w:t>
      </w:r>
      <w:r w:rsidR="002E3C5B">
        <w:t xml:space="preserve"> </w:t>
      </w:r>
      <w:r w:rsidR="00F35926">
        <w:t xml:space="preserve"> </w:t>
      </w:r>
      <w:r w:rsidR="00F35926" w:rsidRPr="00F35926">
        <w:t xml:space="preserve">   </w:t>
      </w:r>
    </w:p>
    <w:p w14:paraId="28DABEA8" w14:textId="2BD26573" w:rsidR="00EF4EA0" w:rsidRDefault="00EF4EA0" w:rsidP="006A7DAF">
      <w:pPr>
        <w:rPr>
          <w:b/>
        </w:rPr>
      </w:pPr>
      <w:r w:rsidRPr="00EF4EA0">
        <w:rPr>
          <w:b/>
        </w:rPr>
        <w:lastRenderedPageBreak/>
        <w:t xml:space="preserve"> TABLES 7 and 8</w:t>
      </w:r>
    </w:p>
    <w:p w14:paraId="53A4D833" w14:textId="77777777" w:rsidR="00EF4EA0" w:rsidRPr="00EF4EA0" w:rsidRDefault="00EF4EA0" w:rsidP="006A7DAF">
      <w:pPr>
        <w:rPr>
          <w:b/>
        </w:rPr>
      </w:pPr>
    </w:p>
    <w:p w14:paraId="418AB130" w14:textId="77777777" w:rsidR="00EF4EA0" w:rsidRDefault="00EF4EA0" w:rsidP="006A7DAF">
      <w:r w:rsidRPr="00EF4EA0">
        <w:rPr>
          <w:noProof/>
        </w:rPr>
        <w:drawing>
          <wp:inline distT="0" distB="0" distL="0" distR="0" wp14:anchorId="5697F840" wp14:editId="13B14C26">
            <wp:extent cx="13546183" cy="4459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62740"/>
                    <a:stretch/>
                  </pic:blipFill>
                  <pic:spPr bwMode="auto">
                    <a:xfrm>
                      <a:off x="0" y="0"/>
                      <a:ext cx="13567554" cy="4466685"/>
                    </a:xfrm>
                    <a:prstGeom prst="rect">
                      <a:avLst/>
                    </a:prstGeom>
                    <a:noFill/>
                    <a:ln>
                      <a:noFill/>
                    </a:ln>
                    <a:extLst>
                      <a:ext uri="{53640926-AAD7-44D8-BBD7-CCE9431645EC}">
                        <a14:shadowObscured xmlns:a14="http://schemas.microsoft.com/office/drawing/2010/main"/>
                      </a:ext>
                    </a:extLst>
                  </pic:spPr>
                </pic:pic>
              </a:graphicData>
            </a:graphic>
          </wp:inline>
        </w:drawing>
      </w:r>
    </w:p>
    <w:p w14:paraId="2B2CFB12" w14:textId="77A8AC8A" w:rsidR="00EF4EA0" w:rsidRDefault="00EF4EA0">
      <w:pPr>
        <w:spacing w:after="200" w:line="276" w:lineRule="auto"/>
      </w:pPr>
      <w:r>
        <w:br w:type="page"/>
      </w:r>
    </w:p>
    <w:p w14:paraId="438F62AF" w14:textId="5C3866B4" w:rsidR="00EF4EA0" w:rsidRDefault="00EF4EA0" w:rsidP="00EF4EA0">
      <w:pPr>
        <w:rPr>
          <w:b/>
        </w:rPr>
      </w:pPr>
      <w:r>
        <w:rPr>
          <w:b/>
        </w:rPr>
        <w:lastRenderedPageBreak/>
        <w:t>TABLES 9, 10, 11</w:t>
      </w:r>
    </w:p>
    <w:p w14:paraId="1CF02385" w14:textId="77777777" w:rsidR="00EF4EA0" w:rsidRDefault="00EF4EA0" w:rsidP="006A7DAF"/>
    <w:p w14:paraId="1465B9EB" w14:textId="00BC5210" w:rsidR="003937A3" w:rsidRDefault="00EF4EA0" w:rsidP="006A7DAF">
      <w:r>
        <w:t xml:space="preserve"> </w:t>
      </w:r>
      <w:r w:rsidRPr="00EF4EA0">
        <w:rPr>
          <w:noProof/>
        </w:rPr>
        <w:drawing>
          <wp:inline distT="0" distB="0" distL="0" distR="0" wp14:anchorId="099E518D" wp14:editId="1EAAAD4C">
            <wp:extent cx="13559245" cy="730478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37571" b="1457"/>
                    <a:stretch/>
                  </pic:blipFill>
                  <pic:spPr bwMode="auto">
                    <a:xfrm>
                      <a:off x="0" y="0"/>
                      <a:ext cx="13579518" cy="7315704"/>
                    </a:xfrm>
                    <a:prstGeom prst="rect">
                      <a:avLst/>
                    </a:prstGeom>
                    <a:noFill/>
                    <a:ln>
                      <a:noFill/>
                    </a:ln>
                    <a:extLst>
                      <a:ext uri="{53640926-AAD7-44D8-BBD7-CCE9431645EC}">
                        <a14:shadowObscured xmlns:a14="http://schemas.microsoft.com/office/drawing/2010/main"/>
                      </a:ext>
                    </a:extLst>
                  </pic:spPr>
                </pic:pic>
              </a:graphicData>
            </a:graphic>
          </wp:inline>
        </w:drawing>
      </w:r>
    </w:p>
    <w:p w14:paraId="337E68EC" w14:textId="77777777" w:rsidR="00EF4EA0" w:rsidRDefault="00EF4EA0" w:rsidP="006A7DAF">
      <w:pPr>
        <w:sectPr w:rsidR="00EF4EA0" w:rsidSect="00EF4EA0">
          <w:pgSz w:w="24480" w:h="15840" w:orient="landscape" w:code="3"/>
          <w:pgMar w:top="1710" w:right="1440" w:bottom="720" w:left="1440" w:header="720" w:footer="720" w:gutter="0"/>
          <w:cols w:space="720"/>
          <w:docGrid w:linePitch="360"/>
        </w:sectPr>
      </w:pPr>
    </w:p>
    <w:p w14:paraId="2C6FADAC" w14:textId="3613FE7B" w:rsidR="00971752" w:rsidRDefault="00971752" w:rsidP="00971752">
      <w:pPr>
        <w:pStyle w:val="Heading2"/>
        <w:spacing w:before="0" w:after="0"/>
      </w:pPr>
      <w:r>
        <w:lastRenderedPageBreak/>
        <w:t>Cash Flow Analysis</w:t>
      </w:r>
    </w:p>
    <w:p w14:paraId="70AE993A" w14:textId="77777777" w:rsidR="00971752" w:rsidRDefault="00971752" w:rsidP="00971752">
      <w:pPr>
        <w:pStyle w:val="Heading3"/>
      </w:pPr>
      <w:r>
        <w:t>Twenty-Year Cash Flow Projection</w:t>
      </w:r>
    </w:p>
    <w:p w14:paraId="3B0F2ECC" w14:textId="04DDC90F" w:rsidR="00971752" w:rsidRDefault="005379B4" w:rsidP="00971752">
      <w:r>
        <w:t>T</w:t>
      </w:r>
      <w:r w:rsidR="00971752">
        <w:t>he cash flow statement combines the results of the capital plan and the operating plan to summarize the year-by-year financial condition of the project sponsor throughout the</w:t>
      </w:r>
      <w:r>
        <w:t xml:space="preserve"> </w:t>
      </w:r>
      <w:r w:rsidRPr="005379B4">
        <w:t>5 + 20 timeframe</w:t>
      </w:r>
      <w:r>
        <w:t xml:space="preserve">. </w:t>
      </w:r>
    </w:p>
    <w:p w14:paraId="50831C7A" w14:textId="77777777" w:rsidR="00971752" w:rsidRDefault="00971752" w:rsidP="00971752"/>
    <w:p w14:paraId="2F7AEA55" w14:textId="21BC30AA" w:rsidR="00971752" w:rsidRDefault="00971752" w:rsidP="00971752">
      <w:r>
        <w:t xml:space="preserve">Cash flow analysis is a valuable tool for project planning.  Its application permits project sponsors to develop and test funding strategies, test alternative assumptions, and conduct risk analysis as part of the agency’s continuing financial planning activities.  The cash flow statement includes at least five prior years of actual costs and revenues to provide a clear picture of the historical financial position of the agency and to substantiate the growth rates assumed in the 20 future years.  The accompanying narrative should cite applicable legal provisions that allow or disallow the use of fund sources for various purposes.  Cash flow statements are structured to </w:t>
      </w:r>
      <w:proofErr w:type="gramStart"/>
      <w:r>
        <w:t>reflects</w:t>
      </w:r>
      <w:proofErr w:type="gramEnd"/>
      <w:r>
        <w:t xml:space="preserve"> the agency’s restrictions on operating and capital funds. Many agencies have restrictions on the use of cash balances such as debt retirement, contractual obligations, lease deposits, uninsured losses or reserve accounts for specific projects.  If an agency is subject to any of these restrictions, balances in these restricted accounts are identified in the cash flow statement and not included as “available” cash.</w:t>
      </w:r>
    </w:p>
    <w:p w14:paraId="3279BB7C" w14:textId="77777777" w:rsidR="00971752" w:rsidRDefault="00971752" w:rsidP="00971752"/>
    <w:p w14:paraId="031A4B3C" w14:textId="200AE6DC" w:rsidR="00971752" w:rsidRDefault="00971752" w:rsidP="00971752">
      <w:r>
        <w:t xml:space="preserve">By year, operating revenues and expenses are summed, as are capital revenues and expenses.  The </w:t>
      </w:r>
      <w:r w:rsidR="005379B4">
        <w:t>difference is the “cash balance</w:t>
      </w:r>
      <w:r>
        <w:t>”</w:t>
      </w:r>
      <w:r w:rsidR="005379B4">
        <w:t xml:space="preserve"> that carries over to the following year. </w:t>
      </w:r>
      <w:r>
        <w:t xml:space="preserve">     </w:t>
      </w:r>
    </w:p>
    <w:p w14:paraId="7C1CA610" w14:textId="0D5254B8" w:rsidR="00971752" w:rsidRDefault="00971752" w:rsidP="00971752">
      <w:pPr>
        <w:pStyle w:val="Heading3"/>
      </w:pPr>
      <w:r>
        <w:t>Financial Evaluation</w:t>
      </w:r>
    </w:p>
    <w:p w14:paraId="06E9A20D" w14:textId="77777777" w:rsidR="00971752" w:rsidRDefault="00971752" w:rsidP="00971752">
      <w:r>
        <w:t xml:space="preserve">The cash flow projection should demonstrate that the agency has adequate resources to complete the project as planned and continue to operate the existing service.  Evidence of this financial capacity could be cash balances or debt service ratios.  In general, cash balances should be sufficient to fund at least three months of operations.  The bond market typically requires gross debt service ratios to exceed 150 percent, which means that revenues pledged to cover debt service must exceed 150 percent of annual debt service. Many agencies are subject to more stringent debt ratio requirements.  </w:t>
      </w:r>
    </w:p>
    <w:p w14:paraId="6625DE67" w14:textId="77777777" w:rsidR="00971752" w:rsidRDefault="00971752" w:rsidP="00971752"/>
    <w:p w14:paraId="75B78E53" w14:textId="4BFA8DFC" w:rsidR="00971752" w:rsidRDefault="00971752" w:rsidP="00971752">
      <w:r>
        <w:t>The cash flow projection is often evaluated to determine the sensitivity of an agency’s financial health to changes in the assumptions underlying the financial plan.  If small changes in the financial planning or economic assumptions, such as economic growth, ridership or interest rates, result in financial difficulties for the agency, the financial capacity of the agency may be questionable.</w:t>
      </w:r>
    </w:p>
    <w:p w14:paraId="0B917465" w14:textId="5F189EE5" w:rsidR="00971752" w:rsidRDefault="00971752" w:rsidP="00971752">
      <w:pPr>
        <w:pStyle w:val="Heading2"/>
      </w:pPr>
      <w:r>
        <w:t>Appendix</w:t>
      </w:r>
    </w:p>
    <w:p w14:paraId="65A797C6" w14:textId="3AC58E7A" w:rsidR="00971752" w:rsidRDefault="00971752" w:rsidP="00971752">
      <w:pPr>
        <w:pStyle w:val="Heading3"/>
      </w:pPr>
      <w:r>
        <w:t xml:space="preserve">Summary of </w:t>
      </w:r>
      <w:r w:rsidRPr="00971752">
        <w:t>Market Analysis</w:t>
      </w:r>
      <w:r>
        <w:t xml:space="preserve"> and Regional </w:t>
      </w:r>
      <w:r w:rsidRPr="00971752">
        <w:t>Economic Co</w:t>
      </w:r>
      <w:r>
        <w:t>ndition Study</w:t>
      </w:r>
      <w:r w:rsidRPr="00971752">
        <w:t xml:space="preserve"> </w:t>
      </w:r>
    </w:p>
    <w:p w14:paraId="70F740DC" w14:textId="1A6CBD50" w:rsidR="00971752" w:rsidRDefault="00971752" w:rsidP="00971752">
      <w:r>
        <w:t>The market analysis and regional economic condition study u</w:t>
      </w:r>
      <w:r w:rsidRPr="00070381">
        <w:t>nderpi</w:t>
      </w:r>
      <w:r>
        <w:t>n</w:t>
      </w:r>
      <w:r w:rsidRPr="00070381">
        <w:t xml:space="preserve"> the revenue projections in the financial plan.  </w:t>
      </w:r>
      <w:r>
        <w:t xml:space="preserve">Parties to the analysis and study may include FRA, States, MPOs, cities, counties, private entities, and NGOs.  </w:t>
      </w:r>
    </w:p>
    <w:p w14:paraId="4663DE7F" w14:textId="77777777" w:rsidR="00971752" w:rsidRDefault="00971752" w:rsidP="00971752"/>
    <w:p w14:paraId="10519603" w14:textId="5299AEFA" w:rsidR="00971752" w:rsidRDefault="00971752" w:rsidP="00971752">
      <w:r>
        <w:t xml:space="preserve">The market analysis is based on a projected period of </w:t>
      </w:r>
      <w:r w:rsidR="00EF4EA0">
        <w:t>20</w:t>
      </w:r>
      <w:r>
        <w:t xml:space="preserve"> to </w:t>
      </w:r>
      <w:r w:rsidR="00EF4EA0">
        <w:t>5</w:t>
      </w:r>
      <w:r>
        <w:t xml:space="preserve">0 years and the establishment of goals for the rail network and individual rail station cities.  Goals may include the </w:t>
      </w:r>
      <w:r w:rsidRPr="00070381">
        <w:t>enhancement of multimodal connections to centers of employment, education and services;</w:t>
      </w:r>
      <w:r>
        <w:t xml:space="preserve"> </w:t>
      </w:r>
      <w:r w:rsidRPr="00070381">
        <w:t xml:space="preserve">long term </w:t>
      </w:r>
      <w:r>
        <w:t xml:space="preserve">mobility and access benefits </w:t>
      </w:r>
      <w:r>
        <w:lastRenderedPageBreak/>
        <w:t xml:space="preserve">for major population centers; long-term </w:t>
      </w:r>
      <w:r w:rsidRPr="00070381">
        <w:t>economic benefits; improvements in economic efficiency/reliability/productiv</w:t>
      </w:r>
      <w:r>
        <w:t xml:space="preserve">ity of land, capital, or labor; or enhanced </w:t>
      </w:r>
      <w:r w:rsidRPr="00070381">
        <w:t xml:space="preserve">opportunities </w:t>
      </w:r>
      <w:r>
        <w:t xml:space="preserve">for </w:t>
      </w:r>
      <w:r w:rsidRPr="00070381">
        <w:t xml:space="preserve">economically distressed areas, small and disadvantaged businesses, workforce training, </w:t>
      </w:r>
      <w:r>
        <w:t xml:space="preserve">or </w:t>
      </w:r>
      <w:r w:rsidRPr="00070381">
        <w:t xml:space="preserve">railroad sector employment. </w:t>
      </w:r>
    </w:p>
    <w:p w14:paraId="24F4A372" w14:textId="77777777" w:rsidR="00971752" w:rsidRDefault="00971752" w:rsidP="00971752"/>
    <w:p w14:paraId="582F0249" w14:textId="7C622122" w:rsidR="00971752" w:rsidRDefault="00971752" w:rsidP="00971752">
      <w:r>
        <w:t xml:space="preserve">In the </w:t>
      </w:r>
      <w:r w:rsidRPr="00971752">
        <w:t xml:space="preserve">market analysis, </w:t>
      </w:r>
      <w:r>
        <w:t xml:space="preserve">alternative network configurations and </w:t>
      </w:r>
      <w:r w:rsidRPr="004A36BF">
        <w:t>cities</w:t>
      </w:r>
      <w:r>
        <w:t xml:space="preserve"> are evaluated</w:t>
      </w:r>
      <w:r w:rsidRPr="004A36BF">
        <w:t xml:space="preserve"> </w:t>
      </w:r>
      <w:r>
        <w:t xml:space="preserve">against the goals.  Conclusions are drawn and network configurations and station cities are agreed among the stakeholders; strategies are recommended to foster growth in some sectors of selected cities, and plans for implementation are set forth, with associated funding sources identified.  As part of the implementation plan for each city, station areas may be defined, and appropriate mechanisms for revenue generation/value capture may be identified for each station area. </w:t>
      </w:r>
    </w:p>
    <w:p w14:paraId="5B9E099A" w14:textId="77777777" w:rsidR="00971752" w:rsidRDefault="00971752" w:rsidP="00971752"/>
    <w:p w14:paraId="72E1A629" w14:textId="4D637615" w:rsidR="00971752" w:rsidRDefault="00971752" w:rsidP="00971752">
      <w:r>
        <w:t xml:space="preserve">In </w:t>
      </w:r>
      <w:r w:rsidRPr="00070381">
        <w:t>the regional</w:t>
      </w:r>
      <w:r>
        <w:t xml:space="preserve"> </w:t>
      </w:r>
      <w:r w:rsidRPr="00070381">
        <w:t>economic co</w:t>
      </w:r>
      <w:r>
        <w:t>ndition study, historical data and forecasts of economic and demographic changes are developed to substantiate the reasonableness of revenue and cost estimates associated with the proposed project – the project that evolved as a segment of the selected network configuration.  These forecasts provide a check on growth rate assumptions for the project’s ridership, tax revenues, regional inflation and other key variables.  Forecasts from independent institutions, such as universities, state agencies and private forecasting firms, are preferred sources of these data.  These forecasts include:</w:t>
      </w:r>
    </w:p>
    <w:p w14:paraId="55B06383" w14:textId="77777777" w:rsidR="00971752" w:rsidRDefault="00971752" w:rsidP="00971752"/>
    <w:p w14:paraId="6AE672BA" w14:textId="12BCBF6F" w:rsidR="00971752" w:rsidRDefault="00971752" w:rsidP="00971752">
      <w:pPr>
        <w:pStyle w:val="ListParagraph"/>
        <w:numPr>
          <w:ilvl w:val="0"/>
          <w:numId w:val="38"/>
        </w:numPr>
      </w:pPr>
      <w:r>
        <w:t>Population and employment growth estimates;</w:t>
      </w:r>
    </w:p>
    <w:p w14:paraId="266B42CE" w14:textId="47198385" w:rsidR="00971752" w:rsidRDefault="00971752" w:rsidP="00971752">
      <w:pPr>
        <w:pStyle w:val="ListParagraph"/>
        <w:numPr>
          <w:ilvl w:val="0"/>
          <w:numId w:val="38"/>
        </w:numPr>
      </w:pPr>
      <w:r>
        <w:t>Inflation and interest rate forecasts consistent with assumption in cash flow projections;</w:t>
      </w:r>
    </w:p>
    <w:p w14:paraId="0DC559FB" w14:textId="2715ED63" w:rsidR="00971752" w:rsidRDefault="00971752" w:rsidP="00971752">
      <w:pPr>
        <w:pStyle w:val="ListParagraph"/>
        <w:numPr>
          <w:ilvl w:val="0"/>
          <w:numId w:val="38"/>
        </w:numPr>
      </w:pPr>
      <w:r>
        <w:t>Economic and land development projections; and</w:t>
      </w:r>
    </w:p>
    <w:p w14:paraId="0C5CD9DA" w14:textId="744A1E40" w:rsidR="00971752" w:rsidRDefault="00971752" w:rsidP="00971752">
      <w:pPr>
        <w:pStyle w:val="ListParagraph"/>
        <w:numPr>
          <w:ilvl w:val="0"/>
          <w:numId w:val="38"/>
        </w:numPr>
      </w:pPr>
      <w:r>
        <w:t xml:space="preserve">The regional demographic or business trends to support 20-year revenue forecasts. </w:t>
      </w:r>
    </w:p>
    <w:p w14:paraId="5D5DEE6A" w14:textId="77777777" w:rsidR="00971752" w:rsidRDefault="00971752" w:rsidP="00971752"/>
    <w:p w14:paraId="2BACA004" w14:textId="41B9DD46" w:rsidR="00971752" w:rsidRDefault="00971752" w:rsidP="00971752">
      <w:r>
        <w:t xml:space="preserve">The forecasts should be portrayed in a table that includes, at a minimum, population, employment, personal income and inflation forecasts 20 years into the future, supported by current regional economic forecast reports. </w:t>
      </w:r>
    </w:p>
    <w:p w14:paraId="0AF09D09" w14:textId="303E102B" w:rsidR="00971752" w:rsidRDefault="00971752" w:rsidP="00971752">
      <w:pPr>
        <w:pStyle w:val="Heading3"/>
      </w:pPr>
      <w:r>
        <w:t>Summary of Financial Condition of the Grantee</w:t>
      </w:r>
    </w:p>
    <w:p w14:paraId="460F8D59" w14:textId="2E2DF196" w:rsidR="00971752" w:rsidRDefault="00971752" w:rsidP="00971752">
      <w:r>
        <w:t>Documentation of the financial condition of the Grantee agency and other non-federal financial partners should be summarized.  The documentation should include three years of audited financial statements, cash account balances, bond or liquidity test ratios, debt ratings and reports by debt rating agencies, the historical reaction to unexpected financial conditions, the extent of the ongoing capital rehabilitation and replacement program, and the condition of the agency’s existing asset base</w:t>
      </w:r>
      <w:r w:rsidR="00EF4EA0">
        <w:t xml:space="preserve"> (including age of fleet, track and agency’s replacement rate.)</w:t>
      </w:r>
      <w:r>
        <w:t xml:space="preserve">  In addition if applicable, evidence of the timely match, obligation, and draw-down of FRA funding over the past five to 10 years should be provided.  The summary of the financial condition of the Grantee and major funding partners is substantiated and referenced to other reports and documents related to the agency. </w:t>
      </w:r>
    </w:p>
    <w:p w14:paraId="3EA034DB" w14:textId="77777777" w:rsidR="00971752" w:rsidRPr="00971752" w:rsidRDefault="00971752" w:rsidP="00971752"/>
    <w:p w14:paraId="2801C219" w14:textId="77777777" w:rsidR="00971752" w:rsidRDefault="00971752" w:rsidP="004532D8">
      <w:pPr>
        <w:pStyle w:val="Heading3"/>
        <w:spacing w:before="0" w:after="0"/>
      </w:pPr>
      <w:r>
        <w:t>Summary of Fleet Management Plans if applicable</w:t>
      </w:r>
    </w:p>
    <w:p w14:paraId="2126FEDE" w14:textId="58FEE7CD" w:rsidR="009451FC" w:rsidRDefault="009451FC" w:rsidP="00971752">
      <w:pPr>
        <w:pStyle w:val="Heading3"/>
        <w:numPr>
          <w:ilvl w:val="0"/>
          <w:numId w:val="0"/>
        </w:numPr>
        <w:spacing w:before="0" w:after="0"/>
      </w:pPr>
    </w:p>
    <w:p w14:paraId="65B5A804" w14:textId="69D8D206" w:rsidR="009451FC" w:rsidRDefault="009451FC" w:rsidP="004532D8">
      <w:pPr>
        <w:pStyle w:val="Heading1"/>
        <w:spacing w:before="0" w:after="0"/>
      </w:pPr>
      <w:r>
        <w:t>REFERENCES</w:t>
      </w:r>
      <w:r w:rsidR="00B55B3B">
        <w:t xml:space="preserve"> – SEE MP 01</w:t>
      </w:r>
    </w:p>
    <w:p w14:paraId="7FF3F44D" w14:textId="5B5973DC" w:rsidR="009451FC" w:rsidRDefault="009451FC" w:rsidP="004532D8">
      <w:pPr>
        <w:pStyle w:val="Indent"/>
        <w:ind w:left="0"/>
      </w:pPr>
    </w:p>
    <w:sectPr w:rsidR="009451FC" w:rsidSect="00414F8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C832" w14:textId="77777777" w:rsidR="00807D72" w:rsidRDefault="00807D72" w:rsidP="00F75A79">
      <w:r>
        <w:separator/>
      </w:r>
    </w:p>
  </w:endnote>
  <w:endnote w:type="continuationSeparator" w:id="0">
    <w:p w14:paraId="7CAAEC98" w14:textId="77777777" w:rsidR="00807D72" w:rsidRDefault="00807D72"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6497A" w14:textId="77777777" w:rsidR="00807D72" w:rsidRDefault="00807D72" w:rsidP="00F75A79">
    <w:pPr>
      <w:pStyle w:val="Footer"/>
    </w:pPr>
  </w:p>
  <w:p w14:paraId="520DA4FC" w14:textId="77777777" w:rsidR="00807D72" w:rsidRDefault="00807D72" w:rsidP="00F75A79">
    <w:pPr>
      <w:pStyle w:val="Footer"/>
    </w:pPr>
    <w:r>
      <w:t>MP 49 – Financial Plan Review</w:t>
    </w:r>
  </w:p>
  <w:p w14:paraId="6F4BD7E7" w14:textId="77777777" w:rsidR="00807D72" w:rsidRDefault="00807D72" w:rsidP="00C3543C">
    <w:pPr>
      <w:pStyle w:val="Footer"/>
    </w:pPr>
    <w:r>
      <w:t>For FRA Internal Use Only, Draft, August 2014</w:t>
    </w:r>
  </w:p>
  <w:p w14:paraId="5D93123C" w14:textId="0D6E32AD" w:rsidR="00807D72" w:rsidRDefault="00790C74" w:rsidP="00F75A79">
    <w:pPr>
      <w:pStyle w:val="Footer"/>
    </w:pPr>
    <w:sdt>
      <w:sdtPr>
        <w:id w:val="1392852445"/>
        <w:docPartObj>
          <w:docPartGallery w:val="Page Numbers (Bottom of Page)"/>
          <w:docPartUnique/>
        </w:docPartObj>
      </w:sdtPr>
      <w:sdtEndPr/>
      <w:sdtContent>
        <w:sdt>
          <w:sdtPr>
            <w:id w:val="-1402439078"/>
            <w:docPartObj>
              <w:docPartGallery w:val="Page Numbers (Top of Page)"/>
              <w:docPartUnique/>
            </w:docPartObj>
          </w:sdtPr>
          <w:sdtEndPr/>
          <w:sdtContent>
            <w:r w:rsidR="00807D72">
              <w:t xml:space="preserve">Page </w:t>
            </w:r>
            <w:r w:rsidR="00807D72">
              <w:rPr>
                <w:sz w:val="24"/>
                <w:szCs w:val="24"/>
              </w:rPr>
              <w:fldChar w:fldCharType="begin"/>
            </w:r>
            <w:r w:rsidR="00807D72">
              <w:instrText xml:space="preserve"> PAGE </w:instrText>
            </w:r>
            <w:r w:rsidR="00807D72">
              <w:rPr>
                <w:sz w:val="24"/>
                <w:szCs w:val="24"/>
              </w:rPr>
              <w:fldChar w:fldCharType="separate"/>
            </w:r>
            <w:r>
              <w:rPr>
                <w:noProof/>
              </w:rPr>
              <w:t>11</w:t>
            </w:r>
            <w:r w:rsidR="00807D72">
              <w:rPr>
                <w:sz w:val="24"/>
                <w:szCs w:val="24"/>
              </w:rPr>
              <w:fldChar w:fldCharType="end"/>
            </w:r>
            <w:r w:rsidR="00807D72">
              <w:t xml:space="preserve"> of </w:t>
            </w:r>
            <w:r>
              <w:fldChar w:fldCharType="begin"/>
            </w:r>
            <w:r>
              <w:instrText xml:space="preserve"> NUMPAGES  </w:instrText>
            </w:r>
            <w:r>
              <w:fldChar w:fldCharType="separate"/>
            </w:r>
            <w:r>
              <w:rPr>
                <w:noProof/>
              </w:rPr>
              <w:t>11</w:t>
            </w:r>
            <w:r>
              <w:rPr>
                <w:noProof/>
              </w:rPr>
              <w:fldChar w:fldCharType="end"/>
            </w:r>
          </w:sdtContent>
        </w:sdt>
      </w:sdtContent>
    </w:sdt>
  </w:p>
  <w:p w14:paraId="6E2F7185" w14:textId="77777777" w:rsidR="00807D72" w:rsidRPr="00F75A79" w:rsidRDefault="00807D72"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31998" w14:textId="77777777" w:rsidR="00807D72" w:rsidRDefault="00807D72" w:rsidP="00F75A79">
      <w:r>
        <w:separator/>
      </w:r>
    </w:p>
  </w:footnote>
  <w:footnote w:type="continuationSeparator" w:id="0">
    <w:p w14:paraId="6FB03113" w14:textId="77777777" w:rsidR="00807D72" w:rsidRDefault="00807D72" w:rsidP="00F75A79">
      <w:r>
        <w:continuationSeparator/>
      </w:r>
    </w:p>
  </w:footnote>
  <w:footnote w:id="1">
    <w:p w14:paraId="2F3FB9BC" w14:textId="77777777" w:rsidR="00C634FF" w:rsidRDefault="00C634FF" w:rsidP="00C634FF">
      <w:pPr>
        <w:pStyle w:val="FootnoteText"/>
      </w:pPr>
      <w:r>
        <w:rPr>
          <w:rStyle w:val="FootnoteReference"/>
        </w:rPr>
        <w:footnoteRef/>
      </w:r>
      <w:r>
        <w:t xml:space="preserve"> Brunel Awards 2014, </w:t>
      </w:r>
      <w:hyperlink r:id="rId1" w:history="1">
        <w:r w:rsidRPr="002213BB">
          <w:rPr>
            <w:rStyle w:val="Hyperlink"/>
          </w:rPr>
          <w:t>http://watford-group.org/catalogus_def_lowres.pdf</w:t>
        </w:r>
      </w:hyperlink>
    </w:p>
    <w:p w14:paraId="3AC53B23" w14:textId="77777777" w:rsidR="00C634FF" w:rsidRDefault="00C634FF" w:rsidP="00C634F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71064" w14:textId="77777777" w:rsidR="00641918" w:rsidRPr="00A05EA3" w:rsidRDefault="00641918" w:rsidP="00A05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2E1"/>
    <w:multiLevelType w:val="hybridMultilevel"/>
    <w:tmpl w:val="9F343568"/>
    <w:lvl w:ilvl="0" w:tplc="F620AA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04F31E47"/>
    <w:multiLevelType w:val="multilevel"/>
    <w:tmpl w:val="73A6454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0956492C"/>
    <w:multiLevelType w:val="hybridMultilevel"/>
    <w:tmpl w:val="B0B2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07D44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7">
    <w:nsid w:val="136B35D6"/>
    <w:multiLevelType w:val="hybridMultilevel"/>
    <w:tmpl w:val="4122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77A8B"/>
    <w:multiLevelType w:val="hybridMultilevel"/>
    <w:tmpl w:val="1EC4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96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244B3B"/>
    <w:multiLevelType w:val="hybridMultilevel"/>
    <w:tmpl w:val="707A710A"/>
    <w:lvl w:ilvl="0" w:tplc="577EF3E6">
      <w:start w:val="1"/>
      <w:numFmt w:val="bullet"/>
      <w:lvlText w:val="-"/>
      <w:lvlJc w:val="left"/>
      <w:pPr>
        <w:ind w:left="907" w:hanging="360"/>
      </w:pPr>
      <w:rPr>
        <w:rFonts w:ascii="Calibri" w:eastAsiaTheme="minorHAnsi" w:hAnsi="Calibri" w:cstheme="minorBid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nsid w:val="190C1A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F3F6B70"/>
    <w:multiLevelType w:val="multilevel"/>
    <w:tmpl w:val="00900FBA"/>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13">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5921BC"/>
    <w:multiLevelType w:val="hybridMultilevel"/>
    <w:tmpl w:val="C90AFDF8"/>
    <w:lvl w:ilvl="0" w:tplc="4DE0225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C036CB"/>
    <w:multiLevelType w:val="hybridMultilevel"/>
    <w:tmpl w:val="83360E7E"/>
    <w:lvl w:ilvl="0" w:tplc="ADEEF49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812FC"/>
    <w:multiLevelType w:val="hybridMultilevel"/>
    <w:tmpl w:val="8C5C4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74F6E2C"/>
    <w:multiLevelType w:val="hybridMultilevel"/>
    <w:tmpl w:val="DC0EC3E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A56B4FE">
      <w:start w:val="4"/>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D63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2E42F4"/>
    <w:multiLevelType w:val="hybridMultilevel"/>
    <w:tmpl w:val="B93CB2E2"/>
    <w:lvl w:ilvl="0" w:tplc="0074D748">
      <w:numFmt w:val="bullet"/>
      <w:pStyle w:val="Bullet"/>
      <w:lvlText w:val=""/>
      <w:lvlJc w:val="left"/>
      <w:pPr>
        <w:ind w:left="81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nsid w:val="4CD66AA0"/>
    <w:multiLevelType w:val="hybridMultilevel"/>
    <w:tmpl w:val="2ADC848E"/>
    <w:lvl w:ilvl="0" w:tplc="C5D4E9F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91099"/>
    <w:multiLevelType w:val="hybridMultilevel"/>
    <w:tmpl w:val="ECDA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924D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604159A"/>
    <w:multiLevelType w:val="hybridMultilevel"/>
    <w:tmpl w:val="F46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76A62"/>
    <w:multiLevelType w:val="hybridMultilevel"/>
    <w:tmpl w:val="FE1C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1737E"/>
    <w:multiLevelType w:val="multilevel"/>
    <w:tmpl w:val="73A645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A7E60B6"/>
    <w:multiLevelType w:val="hybridMultilevel"/>
    <w:tmpl w:val="BE1602FA"/>
    <w:lvl w:ilvl="0" w:tplc="FFD899D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E5D50"/>
    <w:multiLevelType w:val="hybridMultilevel"/>
    <w:tmpl w:val="20C4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313B4E"/>
    <w:multiLevelType w:val="hybridMultilevel"/>
    <w:tmpl w:val="BCAEDD2A"/>
    <w:lvl w:ilvl="0" w:tplc="6A2EE35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1842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D365A45"/>
    <w:multiLevelType w:val="hybridMultilevel"/>
    <w:tmpl w:val="B9F0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33"/>
  </w:num>
  <w:num w:numId="2">
    <w:abstractNumId w:val="21"/>
  </w:num>
  <w:num w:numId="3">
    <w:abstractNumId w:val="2"/>
  </w:num>
  <w:num w:numId="4">
    <w:abstractNumId w:val="6"/>
  </w:num>
  <w:num w:numId="5">
    <w:abstractNumId w:val="1"/>
  </w:num>
  <w:num w:numId="6">
    <w:abstractNumId w:val="13"/>
  </w:num>
  <w:num w:numId="7">
    <w:abstractNumId w:val="18"/>
  </w:num>
  <w:num w:numId="8">
    <w:abstractNumId w:val="1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9"/>
  </w:num>
  <w:num w:numId="19">
    <w:abstractNumId w:val="24"/>
  </w:num>
  <w:num w:numId="20">
    <w:abstractNumId w:val="5"/>
  </w:num>
  <w:num w:numId="21">
    <w:abstractNumId w:val="25"/>
  </w:num>
  <w:num w:numId="22">
    <w:abstractNumId w:val="0"/>
  </w:num>
  <w:num w:numId="23">
    <w:abstractNumId w:val="19"/>
  </w:num>
  <w:num w:numId="24">
    <w:abstractNumId w:val="11"/>
  </w:num>
  <w:num w:numId="25">
    <w:abstractNumId w:val="17"/>
  </w:num>
  <w:num w:numId="26">
    <w:abstractNumId w:val="28"/>
  </w:num>
  <w:num w:numId="27">
    <w:abstractNumId w:val="14"/>
  </w:num>
  <w:num w:numId="28">
    <w:abstractNumId w:val="16"/>
  </w:num>
  <w:num w:numId="29">
    <w:abstractNumId w:val="32"/>
  </w:num>
  <w:num w:numId="30">
    <w:abstractNumId w:val="23"/>
  </w:num>
  <w:num w:numId="31">
    <w:abstractNumId w:val="31"/>
  </w:num>
  <w:num w:numId="32">
    <w:abstractNumId w:val="3"/>
  </w:num>
  <w:num w:numId="33">
    <w:abstractNumId w:val="27"/>
  </w:num>
  <w:num w:numId="34">
    <w:abstractNumId w:val="26"/>
  </w:num>
  <w:num w:numId="35">
    <w:abstractNumId w:val="20"/>
  </w:num>
  <w:num w:numId="36">
    <w:abstractNumId w:val="4"/>
  </w:num>
  <w:num w:numId="37">
    <w:abstractNumId w:val="7"/>
  </w:num>
  <w:num w:numId="38">
    <w:abstractNumId w:val="29"/>
  </w:num>
  <w:num w:numId="39">
    <w:abstractNumId w:val="22"/>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FC"/>
    <w:rsid w:val="00025179"/>
    <w:rsid w:val="000376A7"/>
    <w:rsid w:val="00050F68"/>
    <w:rsid w:val="00056DC7"/>
    <w:rsid w:val="00070381"/>
    <w:rsid w:val="00081087"/>
    <w:rsid w:val="00087F51"/>
    <w:rsid w:val="00093E83"/>
    <w:rsid w:val="000B5634"/>
    <w:rsid w:val="000C0DAB"/>
    <w:rsid w:val="000E3BD1"/>
    <w:rsid w:val="001048BB"/>
    <w:rsid w:val="001272B9"/>
    <w:rsid w:val="001648F4"/>
    <w:rsid w:val="001678CC"/>
    <w:rsid w:val="001933D1"/>
    <w:rsid w:val="00197168"/>
    <w:rsid w:val="001B7844"/>
    <w:rsid w:val="001C235D"/>
    <w:rsid w:val="001E37CA"/>
    <w:rsid w:val="002067BB"/>
    <w:rsid w:val="002217A2"/>
    <w:rsid w:val="002241D1"/>
    <w:rsid w:val="00233F50"/>
    <w:rsid w:val="00245501"/>
    <w:rsid w:val="00266D23"/>
    <w:rsid w:val="002744E3"/>
    <w:rsid w:val="00275173"/>
    <w:rsid w:val="002817F3"/>
    <w:rsid w:val="00290EB6"/>
    <w:rsid w:val="0029606B"/>
    <w:rsid w:val="002A2725"/>
    <w:rsid w:val="002A6686"/>
    <w:rsid w:val="002B2EF0"/>
    <w:rsid w:val="002B4FEC"/>
    <w:rsid w:val="002C09B6"/>
    <w:rsid w:val="002C121C"/>
    <w:rsid w:val="002D285F"/>
    <w:rsid w:val="002E3C5B"/>
    <w:rsid w:val="002F43FA"/>
    <w:rsid w:val="00302088"/>
    <w:rsid w:val="003146DE"/>
    <w:rsid w:val="00325E98"/>
    <w:rsid w:val="00334F8B"/>
    <w:rsid w:val="003436AE"/>
    <w:rsid w:val="00372CF2"/>
    <w:rsid w:val="003937A3"/>
    <w:rsid w:val="003A3686"/>
    <w:rsid w:val="003B40F9"/>
    <w:rsid w:val="003C2EDF"/>
    <w:rsid w:val="003D3157"/>
    <w:rsid w:val="003D5898"/>
    <w:rsid w:val="003D6058"/>
    <w:rsid w:val="003F3FA8"/>
    <w:rsid w:val="004019F4"/>
    <w:rsid w:val="00414F8F"/>
    <w:rsid w:val="0043210A"/>
    <w:rsid w:val="0043379E"/>
    <w:rsid w:val="00443E19"/>
    <w:rsid w:val="00451DBA"/>
    <w:rsid w:val="004532D8"/>
    <w:rsid w:val="00464054"/>
    <w:rsid w:val="00490409"/>
    <w:rsid w:val="00493214"/>
    <w:rsid w:val="004A36BF"/>
    <w:rsid w:val="004B2F11"/>
    <w:rsid w:val="004C0C1F"/>
    <w:rsid w:val="004C5299"/>
    <w:rsid w:val="004C660B"/>
    <w:rsid w:val="004F55D1"/>
    <w:rsid w:val="00523F1C"/>
    <w:rsid w:val="00533447"/>
    <w:rsid w:val="00535887"/>
    <w:rsid w:val="005379B4"/>
    <w:rsid w:val="00545534"/>
    <w:rsid w:val="00546BA6"/>
    <w:rsid w:val="005650BC"/>
    <w:rsid w:val="005653AA"/>
    <w:rsid w:val="005830A1"/>
    <w:rsid w:val="005B62B8"/>
    <w:rsid w:val="005E74DF"/>
    <w:rsid w:val="005F1665"/>
    <w:rsid w:val="00603E1D"/>
    <w:rsid w:val="00605295"/>
    <w:rsid w:val="00641918"/>
    <w:rsid w:val="006534EC"/>
    <w:rsid w:val="00656661"/>
    <w:rsid w:val="00692044"/>
    <w:rsid w:val="006A42D1"/>
    <w:rsid w:val="006A7DAF"/>
    <w:rsid w:val="006D0A25"/>
    <w:rsid w:val="006D1F06"/>
    <w:rsid w:val="006D644E"/>
    <w:rsid w:val="006E2F8E"/>
    <w:rsid w:val="006F20ED"/>
    <w:rsid w:val="00702907"/>
    <w:rsid w:val="00731925"/>
    <w:rsid w:val="00732CC7"/>
    <w:rsid w:val="00733DE9"/>
    <w:rsid w:val="00734405"/>
    <w:rsid w:val="00751E95"/>
    <w:rsid w:val="00760953"/>
    <w:rsid w:val="0078292C"/>
    <w:rsid w:val="00790C74"/>
    <w:rsid w:val="0079485E"/>
    <w:rsid w:val="007C48D6"/>
    <w:rsid w:val="007C5A66"/>
    <w:rsid w:val="007D36A6"/>
    <w:rsid w:val="007D782E"/>
    <w:rsid w:val="007D7C5C"/>
    <w:rsid w:val="007E2C61"/>
    <w:rsid w:val="007E32D2"/>
    <w:rsid w:val="007E7042"/>
    <w:rsid w:val="007F3DFB"/>
    <w:rsid w:val="00807D72"/>
    <w:rsid w:val="00820113"/>
    <w:rsid w:val="00841120"/>
    <w:rsid w:val="00864C4E"/>
    <w:rsid w:val="00887C14"/>
    <w:rsid w:val="0089053B"/>
    <w:rsid w:val="008A2453"/>
    <w:rsid w:val="008C2224"/>
    <w:rsid w:val="008C4D5D"/>
    <w:rsid w:val="009273F1"/>
    <w:rsid w:val="009329A7"/>
    <w:rsid w:val="009451FC"/>
    <w:rsid w:val="00952B66"/>
    <w:rsid w:val="009654D5"/>
    <w:rsid w:val="00967C23"/>
    <w:rsid w:val="00971752"/>
    <w:rsid w:val="00991C01"/>
    <w:rsid w:val="009C01E5"/>
    <w:rsid w:val="009E2439"/>
    <w:rsid w:val="009E72DF"/>
    <w:rsid w:val="00A05EA3"/>
    <w:rsid w:val="00A17738"/>
    <w:rsid w:val="00A24975"/>
    <w:rsid w:val="00A35F34"/>
    <w:rsid w:val="00A7490F"/>
    <w:rsid w:val="00A74D34"/>
    <w:rsid w:val="00A85CF2"/>
    <w:rsid w:val="00AA3503"/>
    <w:rsid w:val="00AA50CA"/>
    <w:rsid w:val="00AC7880"/>
    <w:rsid w:val="00AD60EB"/>
    <w:rsid w:val="00AD7E8B"/>
    <w:rsid w:val="00AE1B38"/>
    <w:rsid w:val="00AF107B"/>
    <w:rsid w:val="00AF29E0"/>
    <w:rsid w:val="00B06F0A"/>
    <w:rsid w:val="00B07C66"/>
    <w:rsid w:val="00B21B95"/>
    <w:rsid w:val="00B22045"/>
    <w:rsid w:val="00B272CA"/>
    <w:rsid w:val="00B5200C"/>
    <w:rsid w:val="00B55B3B"/>
    <w:rsid w:val="00B85801"/>
    <w:rsid w:val="00B87EB7"/>
    <w:rsid w:val="00BC08B3"/>
    <w:rsid w:val="00BC363D"/>
    <w:rsid w:val="00C003B5"/>
    <w:rsid w:val="00C20162"/>
    <w:rsid w:val="00C3543C"/>
    <w:rsid w:val="00C35BBE"/>
    <w:rsid w:val="00C42640"/>
    <w:rsid w:val="00C44E71"/>
    <w:rsid w:val="00C46C31"/>
    <w:rsid w:val="00C634FF"/>
    <w:rsid w:val="00C918BA"/>
    <w:rsid w:val="00C950C9"/>
    <w:rsid w:val="00CA5D74"/>
    <w:rsid w:val="00CB199B"/>
    <w:rsid w:val="00CC79AA"/>
    <w:rsid w:val="00CF6965"/>
    <w:rsid w:val="00D0675C"/>
    <w:rsid w:val="00D20647"/>
    <w:rsid w:val="00D25D35"/>
    <w:rsid w:val="00D36414"/>
    <w:rsid w:val="00D523EF"/>
    <w:rsid w:val="00D557DC"/>
    <w:rsid w:val="00D6262E"/>
    <w:rsid w:val="00D75DAB"/>
    <w:rsid w:val="00DA16FE"/>
    <w:rsid w:val="00DA4EBB"/>
    <w:rsid w:val="00DC1EF6"/>
    <w:rsid w:val="00DD31C5"/>
    <w:rsid w:val="00DD6D2E"/>
    <w:rsid w:val="00E047D0"/>
    <w:rsid w:val="00E0781F"/>
    <w:rsid w:val="00E32114"/>
    <w:rsid w:val="00E544D2"/>
    <w:rsid w:val="00E55530"/>
    <w:rsid w:val="00EB274B"/>
    <w:rsid w:val="00EB3BB0"/>
    <w:rsid w:val="00EB4DA7"/>
    <w:rsid w:val="00EC4325"/>
    <w:rsid w:val="00EF4EA0"/>
    <w:rsid w:val="00F35926"/>
    <w:rsid w:val="00F4025C"/>
    <w:rsid w:val="00F4492C"/>
    <w:rsid w:val="00F6150C"/>
    <w:rsid w:val="00F70252"/>
    <w:rsid w:val="00F7127B"/>
    <w:rsid w:val="00F75A79"/>
    <w:rsid w:val="00F815A7"/>
    <w:rsid w:val="00FA117E"/>
    <w:rsid w:val="00FC48C2"/>
    <w:rsid w:val="00FD42D3"/>
    <w:rsid w:val="00FD555A"/>
    <w:rsid w:val="00FE76D7"/>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5D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9451FC"/>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9451FC"/>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9451FC"/>
    <w:pPr>
      <w:tabs>
        <w:tab w:val="left" w:pos="547"/>
      </w:tabs>
      <w:ind w:left="1267" w:right="360" w:hanging="360"/>
    </w:pPr>
  </w:style>
  <w:style w:type="character" w:customStyle="1" w:styleId="123ListChar">
    <w:name w:val="123 List Char"/>
    <w:basedOn w:val="ListParagraphChar"/>
    <w:link w:val="123List"/>
    <w:rsid w:val="009451FC"/>
  </w:style>
  <w:style w:type="paragraph" w:customStyle="1" w:styleId="123ListBullet">
    <w:name w:val="123 List Bullet"/>
    <w:basedOn w:val="Bullet"/>
    <w:link w:val="123ListBulletChar"/>
    <w:qFormat/>
    <w:rsid w:val="009451FC"/>
    <w:pPr>
      <w:ind w:left="1728"/>
    </w:pPr>
  </w:style>
  <w:style w:type="character" w:customStyle="1" w:styleId="123ListBulletChar">
    <w:name w:val="123 List Bullet Char"/>
    <w:basedOn w:val="BulletChar"/>
    <w:link w:val="123ListBullet"/>
    <w:rsid w:val="009451FC"/>
  </w:style>
  <w:style w:type="character" w:styleId="CommentReference">
    <w:name w:val="annotation reference"/>
    <w:basedOn w:val="DefaultParagraphFont"/>
    <w:uiPriority w:val="99"/>
    <w:semiHidden/>
    <w:unhideWhenUsed/>
    <w:rsid w:val="00F815A7"/>
    <w:rPr>
      <w:sz w:val="16"/>
      <w:szCs w:val="16"/>
    </w:rPr>
  </w:style>
  <w:style w:type="paragraph" w:styleId="CommentText">
    <w:name w:val="annotation text"/>
    <w:basedOn w:val="Normal"/>
    <w:link w:val="CommentTextChar"/>
    <w:uiPriority w:val="99"/>
    <w:semiHidden/>
    <w:unhideWhenUsed/>
    <w:rsid w:val="00F815A7"/>
    <w:rPr>
      <w:sz w:val="20"/>
      <w:szCs w:val="20"/>
    </w:rPr>
  </w:style>
  <w:style w:type="character" w:customStyle="1" w:styleId="CommentTextChar">
    <w:name w:val="Comment Text Char"/>
    <w:basedOn w:val="DefaultParagraphFont"/>
    <w:link w:val="CommentText"/>
    <w:uiPriority w:val="99"/>
    <w:semiHidden/>
    <w:rsid w:val="00F815A7"/>
    <w:rPr>
      <w:sz w:val="20"/>
      <w:szCs w:val="20"/>
    </w:rPr>
  </w:style>
  <w:style w:type="paragraph" w:styleId="CommentSubject">
    <w:name w:val="annotation subject"/>
    <w:basedOn w:val="CommentText"/>
    <w:next w:val="CommentText"/>
    <w:link w:val="CommentSubjectChar"/>
    <w:uiPriority w:val="99"/>
    <w:semiHidden/>
    <w:unhideWhenUsed/>
    <w:rsid w:val="00F815A7"/>
    <w:rPr>
      <w:b/>
      <w:bCs/>
    </w:rPr>
  </w:style>
  <w:style w:type="character" w:customStyle="1" w:styleId="CommentSubjectChar">
    <w:name w:val="Comment Subject Char"/>
    <w:basedOn w:val="CommentTextChar"/>
    <w:link w:val="CommentSubject"/>
    <w:uiPriority w:val="99"/>
    <w:semiHidden/>
    <w:rsid w:val="00F815A7"/>
    <w:rPr>
      <w:b/>
      <w:bCs/>
      <w:sz w:val="20"/>
      <w:szCs w:val="20"/>
    </w:rPr>
  </w:style>
  <w:style w:type="paragraph" w:styleId="Revision">
    <w:name w:val="Revision"/>
    <w:hidden/>
    <w:uiPriority w:val="99"/>
    <w:semiHidden/>
    <w:rsid w:val="00F815A7"/>
    <w:pPr>
      <w:spacing w:after="0" w:line="240" w:lineRule="auto"/>
    </w:pPr>
  </w:style>
  <w:style w:type="paragraph" w:styleId="FootnoteText">
    <w:name w:val="footnote text"/>
    <w:basedOn w:val="Normal"/>
    <w:link w:val="FootnoteTextChar"/>
    <w:uiPriority w:val="99"/>
    <w:semiHidden/>
    <w:unhideWhenUsed/>
    <w:rsid w:val="00070381"/>
    <w:rPr>
      <w:sz w:val="20"/>
      <w:szCs w:val="20"/>
    </w:rPr>
  </w:style>
  <w:style w:type="character" w:customStyle="1" w:styleId="FootnoteTextChar">
    <w:name w:val="Footnote Text Char"/>
    <w:basedOn w:val="DefaultParagraphFont"/>
    <w:link w:val="FootnoteText"/>
    <w:uiPriority w:val="99"/>
    <w:semiHidden/>
    <w:rsid w:val="00070381"/>
    <w:rPr>
      <w:sz w:val="20"/>
      <w:szCs w:val="20"/>
    </w:rPr>
  </w:style>
  <w:style w:type="character" w:styleId="FootnoteReference">
    <w:name w:val="footnote reference"/>
    <w:basedOn w:val="DefaultParagraphFont"/>
    <w:uiPriority w:val="99"/>
    <w:semiHidden/>
    <w:unhideWhenUsed/>
    <w:rsid w:val="00070381"/>
    <w:rPr>
      <w:vertAlign w:val="superscript"/>
    </w:rPr>
  </w:style>
  <w:style w:type="character" w:styleId="FollowedHyperlink">
    <w:name w:val="FollowedHyperlink"/>
    <w:basedOn w:val="DefaultParagraphFont"/>
    <w:uiPriority w:val="99"/>
    <w:semiHidden/>
    <w:unhideWhenUsed/>
    <w:rsid w:val="00070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9451FC"/>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9451FC"/>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9451FC"/>
    <w:pPr>
      <w:tabs>
        <w:tab w:val="left" w:pos="547"/>
      </w:tabs>
      <w:ind w:left="1267" w:right="360" w:hanging="360"/>
    </w:pPr>
  </w:style>
  <w:style w:type="character" w:customStyle="1" w:styleId="123ListChar">
    <w:name w:val="123 List Char"/>
    <w:basedOn w:val="ListParagraphChar"/>
    <w:link w:val="123List"/>
    <w:rsid w:val="009451FC"/>
  </w:style>
  <w:style w:type="paragraph" w:customStyle="1" w:styleId="123ListBullet">
    <w:name w:val="123 List Bullet"/>
    <w:basedOn w:val="Bullet"/>
    <w:link w:val="123ListBulletChar"/>
    <w:qFormat/>
    <w:rsid w:val="009451FC"/>
    <w:pPr>
      <w:ind w:left="1728"/>
    </w:pPr>
  </w:style>
  <w:style w:type="character" w:customStyle="1" w:styleId="123ListBulletChar">
    <w:name w:val="123 List Bullet Char"/>
    <w:basedOn w:val="BulletChar"/>
    <w:link w:val="123ListBullet"/>
    <w:rsid w:val="009451FC"/>
  </w:style>
  <w:style w:type="character" w:styleId="CommentReference">
    <w:name w:val="annotation reference"/>
    <w:basedOn w:val="DefaultParagraphFont"/>
    <w:uiPriority w:val="99"/>
    <w:semiHidden/>
    <w:unhideWhenUsed/>
    <w:rsid w:val="00F815A7"/>
    <w:rPr>
      <w:sz w:val="16"/>
      <w:szCs w:val="16"/>
    </w:rPr>
  </w:style>
  <w:style w:type="paragraph" w:styleId="CommentText">
    <w:name w:val="annotation text"/>
    <w:basedOn w:val="Normal"/>
    <w:link w:val="CommentTextChar"/>
    <w:uiPriority w:val="99"/>
    <w:semiHidden/>
    <w:unhideWhenUsed/>
    <w:rsid w:val="00F815A7"/>
    <w:rPr>
      <w:sz w:val="20"/>
      <w:szCs w:val="20"/>
    </w:rPr>
  </w:style>
  <w:style w:type="character" w:customStyle="1" w:styleId="CommentTextChar">
    <w:name w:val="Comment Text Char"/>
    <w:basedOn w:val="DefaultParagraphFont"/>
    <w:link w:val="CommentText"/>
    <w:uiPriority w:val="99"/>
    <w:semiHidden/>
    <w:rsid w:val="00F815A7"/>
    <w:rPr>
      <w:sz w:val="20"/>
      <w:szCs w:val="20"/>
    </w:rPr>
  </w:style>
  <w:style w:type="paragraph" w:styleId="CommentSubject">
    <w:name w:val="annotation subject"/>
    <w:basedOn w:val="CommentText"/>
    <w:next w:val="CommentText"/>
    <w:link w:val="CommentSubjectChar"/>
    <w:uiPriority w:val="99"/>
    <w:semiHidden/>
    <w:unhideWhenUsed/>
    <w:rsid w:val="00F815A7"/>
    <w:rPr>
      <w:b/>
      <w:bCs/>
    </w:rPr>
  </w:style>
  <w:style w:type="character" w:customStyle="1" w:styleId="CommentSubjectChar">
    <w:name w:val="Comment Subject Char"/>
    <w:basedOn w:val="CommentTextChar"/>
    <w:link w:val="CommentSubject"/>
    <w:uiPriority w:val="99"/>
    <w:semiHidden/>
    <w:rsid w:val="00F815A7"/>
    <w:rPr>
      <w:b/>
      <w:bCs/>
      <w:sz w:val="20"/>
      <w:szCs w:val="20"/>
    </w:rPr>
  </w:style>
  <w:style w:type="paragraph" w:styleId="Revision">
    <w:name w:val="Revision"/>
    <w:hidden/>
    <w:uiPriority w:val="99"/>
    <w:semiHidden/>
    <w:rsid w:val="00F815A7"/>
    <w:pPr>
      <w:spacing w:after="0" w:line="240" w:lineRule="auto"/>
    </w:pPr>
  </w:style>
  <w:style w:type="paragraph" w:styleId="FootnoteText">
    <w:name w:val="footnote text"/>
    <w:basedOn w:val="Normal"/>
    <w:link w:val="FootnoteTextChar"/>
    <w:uiPriority w:val="99"/>
    <w:semiHidden/>
    <w:unhideWhenUsed/>
    <w:rsid w:val="00070381"/>
    <w:rPr>
      <w:sz w:val="20"/>
      <w:szCs w:val="20"/>
    </w:rPr>
  </w:style>
  <w:style w:type="character" w:customStyle="1" w:styleId="FootnoteTextChar">
    <w:name w:val="Footnote Text Char"/>
    <w:basedOn w:val="DefaultParagraphFont"/>
    <w:link w:val="FootnoteText"/>
    <w:uiPriority w:val="99"/>
    <w:semiHidden/>
    <w:rsid w:val="00070381"/>
    <w:rPr>
      <w:sz w:val="20"/>
      <w:szCs w:val="20"/>
    </w:rPr>
  </w:style>
  <w:style w:type="character" w:styleId="FootnoteReference">
    <w:name w:val="footnote reference"/>
    <w:basedOn w:val="DefaultParagraphFont"/>
    <w:uiPriority w:val="99"/>
    <w:semiHidden/>
    <w:unhideWhenUsed/>
    <w:rsid w:val="00070381"/>
    <w:rPr>
      <w:vertAlign w:val="superscript"/>
    </w:rPr>
  </w:style>
  <w:style w:type="character" w:styleId="FollowedHyperlink">
    <w:name w:val="FollowedHyperlink"/>
    <w:basedOn w:val="DefaultParagraphFont"/>
    <w:uiPriority w:val="99"/>
    <w:semiHidden/>
    <w:unhideWhenUsed/>
    <w:rsid w:val="00070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atford-group.org/catalogus_def_low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5_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941A-6EE2-456E-9EEF-4742E85A4C4A}">
  <ds:schemaRef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E43BEBC-D0D1-4ACC-B198-44877B7EF348}">
  <ds:schemaRefs>
    <ds:schemaRef ds:uri="http://schemas.microsoft.com/sharepoint/v3/contenttype/forms"/>
  </ds:schemaRefs>
</ds:datastoreItem>
</file>

<file path=customXml/itemProps3.xml><?xml version="1.0" encoding="utf-8"?>
<ds:datastoreItem xmlns:ds="http://schemas.openxmlformats.org/officeDocument/2006/customXml" ds:itemID="{6E270EE1-0883-4552-8564-0C3755D7A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5D4541-A91E-4822-AF1B-D39E102E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Template_v5_USE THIS.dotx</Template>
  <TotalTime>0</TotalTime>
  <Pages>11</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2014-10-24T14:30:00Z</cp:lastPrinted>
  <dcterms:created xsi:type="dcterms:W3CDTF">2014-11-13T04:21:00Z</dcterms:created>
  <dcterms:modified xsi:type="dcterms:W3CDTF">2014-11-13T04:21:00Z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