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60019"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590EA6C0" wp14:editId="221FFA2E">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33DE7D33" w14:textId="77777777" w:rsidR="004C660B" w:rsidRPr="002A2725" w:rsidRDefault="004C660B" w:rsidP="008A2453">
      <w:pPr>
        <w:pStyle w:val="Header"/>
      </w:pPr>
      <w:r w:rsidRPr="002A2725">
        <w:t>Office of Passenger and Freight Programs</w:t>
      </w:r>
    </w:p>
    <w:p w14:paraId="7975D741" w14:textId="77777777" w:rsidR="00AD7E8B" w:rsidRPr="002A2725" w:rsidRDefault="00AD7E8B" w:rsidP="008A2453">
      <w:pPr>
        <w:pStyle w:val="Header"/>
      </w:pPr>
    </w:p>
    <w:p w14:paraId="38CFCEA0" w14:textId="75DFBC89" w:rsidR="00DA0731" w:rsidRPr="002A2725" w:rsidRDefault="00DA0731" w:rsidP="00DA0731">
      <w:pPr>
        <w:pStyle w:val="Header"/>
      </w:pPr>
      <w:r w:rsidRPr="002A2725">
        <w:t>Monitoring Procedure</w:t>
      </w:r>
      <w:r w:rsidR="00CE658E">
        <w:t xml:space="preserve"> 01</w:t>
      </w:r>
      <w:r w:rsidRPr="00D32750">
        <w:t xml:space="preserve"> - </w:t>
      </w:r>
      <w:r w:rsidR="00CE658E" w:rsidRPr="00CE658E">
        <w:t xml:space="preserve">MTAC Administrative Conditions and Requirements </w:t>
      </w:r>
    </w:p>
    <w:p w14:paraId="1736AD44" w14:textId="77777777" w:rsidR="00DD31C5" w:rsidRDefault="00DD31C5" w:rsidP="00AD7E8B">
      <w:pPr>
        <w:pBdr>
          <w:bottom w:val="single" w:sz="4" w:space="1" w:color="auto"/>
        </w:pBdr>
      </w:pPr>
    </w:p>
    <w:p w14:paraId="27A1B4B7" w14:textId="77777777" w:rsidR="00DA0731" w:rsidRDefault="00DA0731" w:rsidP="00DA0731">
      <w:pPr>
        <w:pStyle w:val="Heading1"/>
      </w:pPr>
      <w:r>
        <w:t>PURPOSE</w:t>
      </w:r>
    </w:p>
    <w:p w14:paraId="185C7697" w14:textId="16409721" w:rsidR="00DA0731" w:rsidRPr="00F75A79" w:rsidRDefault="00CE658E" w:rsidP="00DA0731">
      <w:r>
        <w:t xml:space="preserve">The </w:t>
      </w:r>
      <w:r w:rsidRPr="00CE658E">
        <w:t>purpose of this Monitoring Procedure (MP) is to describe the administrative conditions and requirements associated with the performance of oversight by the Monitoring and Technical Assistance Contractors (MTAC) for the Federal Railroad Administration</w:t>
      </w:r>
      <w:r>
        <w:t>.</w:t>
      </w:r>
      <w:r w:rsidR="00477895">
        <w:t xml:space="preserve"> </w:t>
      </w:r>
      <w:r w:rsidR="00DA0731">
        <w:t xml:space="preserve"> </w:t>
      </w:r>
    </w:p>
    <w:p w14:paraId="2E3E3E05" w14:textId="53A439D8" w:rsidR="00DA0731" w:rsidRDefault="00CE658E" w:rsidP="00DA0731">
      <w:pPr>
        <w:pStyle w:val="Heading1"/>
      </w:pPr>
      <w:r>
        <w:t>BACKGROUND</w:t>
      </w:r>
    </w:p>
    <w:p w14:paraId="017971DE" w14:textId="3167DA62" w:rsidR="007B20E2" w:rsidRDefault="000C4CA5" w:rsidP="00CE658E">
      <w:pPr>
        <w:spacing w:after="120"/>
      </w:pPr>
      <w:r>
        <w:t xml:space="preserve">The </w:t>
      </w:r>
      <w:r w:rsidR="00CE658E">
        <w:t xml:space="preserve">Federal Railroad Administration (FRA) provides Federal grants and loans to assist in financing intercity passenger rail </w:t>
      </w:r>
      <w:r>
        <w:t xml:space="preserve">and freight rail </w:t>
      </w:r>
      <w:r w:rsidR="009E4BF9">
        <w:t>projects</w:t>
      </w:r>
      <w:r w:rsidR="00CE658E">
        <w:t xml:space="preserve">. </w:t>
      </w:r>
      <w:r w:rsidR="009E4BF9">
        <w:t xml:space="preserve"> </w:t>
      </w:r>
      <w:r w:rsidR="00CE658E">
        <w:t xml:space="preserve">FRA, therefore, is responsible for administering the grants and loans, and ensuring projects are delivered </w:t>
      </w:r>
      <w:r w:rsidR="009E4BF9">
        <w:t>successfully</w:t>
      </w:r>
      <w:r>
        <w:t>, provide public benefits,</w:t>
      </w:r>
      <w:r w:rsidR="009E4BF9">
        <w:t xml:space="preserve"> and </w:t>
      </w:r>
      <w:r w:rsidR="00CE658E">
        <w:t>meet Federal requirements.</w:t>
      </w:r>
      <w:r w:rsidR="00037A0F">
        <w:rPr>
          <w:rStyle w:val="FootnoteReference"/>
        </w:rPr>
        <w:footnoteReference w:id="1"/>
      </w:r>
      <w:r w:rsidR="00CE658E">
        <w:t xml:space="preserve">  </w:t>
      </w:r>
    </w:p>
    <w:p w14:paraId="7DE1F7B5" w14:textId="34D8B877" w:rsidR="00CE658E" w:rsidRDefault="00192839" w:rsidP="009E4BF9">
      <w:r>
        <w:t>FR</w:t>
      </w:r>
      <w:r w:rsidR="00CE658E">
        <w:t xml:space="preserve">A performs oversight </w:t>
      </w:r>
      <w:r w:rsidR="00031E83">
        <w:t xml:space="preserve">using a mix of </w:t>
      </w:r>
      <w:r w:rsidR="00CE658E">
        <w:t xml:space="preserve">staff and contractors.  </w:t>
      </w:r>
      <w:r w:rsidR="00031E83">
        <w:t>Some FRA-administered programs are appropriated funding (administrative takedown) to help fund contractor services, while others do not receive an appropriation.  Although t</w:t>
      </w:r>
      <w:r w:rsidR="00CE658E">
        <w:t xml:space="preserve">he Monitoring Procedures (MP) are meant to instruct both Federal staff and contractors, the MTAC </w:t>
      </w:r>
      <w:r w:rsidR="007261A5">
        <w:t>will</w:t>
      </w:r>
      <w:r w:rsidR="00CE658E">
        <w:t xml:space="preserve"> </w:t>
      </w:r>
      <w:r w:rsidR="00D40D96">
        <w:t>have a significant role in conducting over</w:t>
      </w:r>
      <w:r w:rsidR="00CE658E">
        <w:t>sight</w:t>
      </w:r>
      <w:r w:rsidR="00D40D96">
        <w:t xml:space="preserve"> of FRA’s largest programs</w:t>
      </w:r>
      <w:r w:rsidR="00CE658E">
        <w:t>.  Therefore, the MPs refer to the reviewer as the MTAC.</w:t>
      </w:r>
    </w:p>
    <w:p w14:paraId="16DB9225" w14:textId="77777777" w:rsidR="00CE658E" w:rsidRPr="00A5119B" w:rsidRDefault="00CE658E" w:rsidP="009E4BF9"/>
    <w:p w14:paraId="4632D602" w14:textId="310E1478" w:rsidR="000E7141" w:rsidRPr="000E7141" w:rsidRDefault="000E7141" w:rsidP="000E7141">
      <w:pPr>
        <w:pStyle w:val="Heading2"/>
        <w:spacing w:before="0" w:after="0"/>
      </w:pPr>
      <w:r w:rsidRPr="000E7141">
        <w:rPr>
          <w:rFonts w:asciiTheme="minorHAnsi" w:hAnsiTheme="minorHAnsi"/>
          <w:szCs w:val="22"/>
        </w:rPr>
        <w:t>MTAC P</w:t>
      </w:r>
      <w:r w:rsidR="0025245F">
        <w:rPr>
          <w:rFonts w:asciiTheme="minorHAnsi" w:hAnsiTheme="minorHAnsi"/>
          <w:szCs w:val="22"/>
        </w:rPr>
        <w:t>rogram Underpinnings</w:t>
      </w:r>
    </w:p>
    <w:p w14:paraId="32C95447" w14:textId="77777777" w:rsidR="00D90E52" w:rsidRDefault="00D90E52" w:rsidP="00D90E52"/>
    <w:p w14:paraId="2EB60DC8" w14:textId="04A7500E" w:rsidR="00D90E52" w:rsidRDefault="00D90E52" w:rsidP="00D90E52">
      <w:r>
        <w:t xml:space="preserve">FRA currently provides stewardship of taxpayers’ dollars and conducts due diligence as a federal grants-making agency.  </w:t>
      </w:r>
      <w:r w:rsidRPr="00D90E52">
        <w:t>FRA administers grant and loan programs to assist State</w:t>
      </w:r>
      <w:r w:rsidR="00D40D96">
        <w:t>s</w:t>
      </w:r>
      <w:r w:rsidRPr="00D90E52">
        <w:t xml:space="preserve"> and other eligible entities in the planning, acquisition, design, construction, and readiness for operations of high-speed and intercity passenger rail projects</w:t>
      </w:r>
      <w:r w:rsidR="00D40D96">
        <w:t xml:space="preserve"> and freight rail projects</w:t>
      </w:r>
      <w:r w:rsidRPr="00D90E52">
        <w:t>.  The number and amount of grants and loans administered by the FRA have dramatically increased over the last several years.  FRA currently has a grant and loan portfolio comprised of over $</w:t>
      </w:r>
      <w:r w:rsidR="00D40D96">
        <w:t>20</w:t>
      </w:r>
      <w:r w:rsidRPr="00D90E52">
        <w:t xml:space="preserve"> billion worth of investments for more than 3</w:t>
      </w:r>
      <w:r w:rsidR="00D40D96">
        <w:t xml:space="preserve">50 </w:t>
      </w:r>
      <w:r w:rsidRPr="00D90E52">
        <w:t xml:space="preserve">grants and loans distributed across multiple programs for projects located throughout the entire United States.  </w:t>
      </w:r>
    </w:p>
    <w:p w14:paraId="1B272709" w14:textId="77777777" w:rsidR="00D90E52" w:rsidRDefault="00D90E52" w:rsidP="00D90E52"/>
    <w:p w14:paraId="0E2A9809" w14:textId="20FC45B9" w:rsidR="007261A5" w:rsidRDefault="00D90E52" w:rsidP="00D90E52">
      <w:r>
        <w:t xml:space="preserve">For </w:t>
      </w:r>
      <w:r w:rsidRPr="00D90E52">
        <w:t xml:space="preserve">FRA’s </w:t>
      </w:r>
      <w:r>
        <w:t xml:space="preserve">oversight of </w:t>
      </w:r>
      <w:r w:rsidRPr="00D90E52">
        <w:t xml:space="preserve">major capital rail projects, </w:t>
      </w:r>
      <w:r w:rsidR="00280F49">
        <w:t xml:space="preserve">the Monitoring and Technical Assistance Program (MTAP) </w:t>
      </w:r>
      <w:r w:rsidR="007261A5">
        <w:t xml:space="preserve">will </w:t>
      </w:r>
      <w:r w:rsidRPr="00D90E52">
        <w:t>bring significant additional contractor resources</w:t>
      </w:r>
      <w:r w:rsidR="007261A5">
        <w:t xml:space="preserve">, more </w:t>
      </w:r>
      <w:r w:rsidRPr="00D90E52">
        <w:t xml:space="preserve">technical expertise, </w:t>
      </w:r>
      <w:r w:rsidR="007261A5">
        <w:t xml:space="preserve">and </w:t>
      </w:r>
      <w:r w:rsidRPr="00D90E52">
        <w:t xml:space="preserve">greater consistency of approach </w:t>
      </w:r>
      <w:r w:rsidR="007261A5">
        <w:t xml:space="preserve">to projects </w:t>
      </w:r>
      <w:r w:rsidRPr="00D90E52">
        <w:t>across the FRA regions.</w:t>
      </w:r>
      <w:r>
        <w:t xml:space="preserve"> </w:t>
      </w:r>
      <w:r w:rsidR="007261A5">
        <w:t xml:space="preserve"> </w:t>
      </w:r>
    </w:p>
    <w:p w14:paraId="3AE0FF3D" w14:textId="77777777" w:rsidR="007261A5" w:rsidRDefault="007261A5" w:rsidP="00D90E52"/>
    <w:p w14:paraId="4D1DBC9F" w14:textId="0482FBA0" w:rsidR="00D90E52" w:rsidRDefault="00D90E52" w:rsidP="00D90E52">
      <w:r>
        <w:t xml:space="preserve">FRA’s goals for </w:t>
      </w:r>
      <w:r w:rsidR="00280F49">
        <w:t>MTAP</w:t>
      </w:r>
      <w:r>
        <w:t xml:space="preserve"> are</w:t>
      </w:r>
      <w:r w:rsidR="00C06781">
        <w:t xml:space="preserve"> at three levels</w:t>
      </w:r>
      <w:r>
        <w:t>:</w:t>
      </w:r>
    </w:p>
    <w:p w14:paraId="08DA0E5C" w14:textId="2C9CC4BE" w:rsidR="00D90E52" w:rsidRDefault="007261A5" w:rsidP="0033706F">
      <w:pPr>
        <w:pStyle w:val="ListParagraph"/>
        <w:numPr>
          <w:ilvl w:val="0"/>
          <w:numId w:val="11"/>
        </w:numPr>
      </w:pPr>
      <w:r>
        <w:t>Projects</w:t>
      </w:r>
      <w:r w:rsidR="00C06781">
        <w:t xml:space="preserve"> - </w:t>
      </w:r>
      <w:r w:rsidR="00D90E52">
        <w:t xml:space="preserve">To </w:t>
      </w:r>
      <w:r w:rsidR="00D40D96">
        <w:t>proactively identify and m</w:t>
      </w:r>
      <w:r>
        <w:t xml:space="preserve">itigate </w:t>
      </w:r>
      <w:r w:rsidR="00D40D96">
        <w:t xml:space="preserve">risks, </w:t>
      </w:r>
      <w:r w:rsidR="00D90E52">
        <w:t>foster good solutions</w:t>
      </w:r>
      <w:r w:rsidR="00D40D96">
        <w:t xml:space="preserve"> to challenges/issues, a</w:t>
      </w:r>
      <w:r w:rsidR="00D90E52">
        <w:t xml:space="preserve">nd </w:t>
      </w:r>
      <w:r>
        <w:t>ensure projects move su</w:t>
      </w:r>
      <w:r w:rsidR="00D90E52">
        <w:t>ccessful</w:t>
      </w:r>
      <w:r>
        <w:t>ly into revenue operations</w:t>
      </w:r>
    </w:p>
    <w:p w14:paraId="4743F550" w14:textId="1038FB63" w:rsidR="007261A5" w:rsidRDefault="007261A5" w:rsidP="0033706F">
      <w:pPr>
        <w:pStyle w:val="ListParagraph"/>
        <w:numPr>
          <w:ilvl w:val="0"/>
          <w:numId w:val="11"/>
        </w:numPr>
      </w:pPr>
      <w:r>
        <w:t>Program</w:t>
      </w:r>
      <w:r w:rsidR="00C06781">
        <w:t xml:space="preserve"> - </w:t>
      </w:r>
      <w:r w:rsidR="00D90E52">
        <w:t xml:space="preserve">To develop an ongoing FRA oversight program with knowledge sharing and </w:t>
      </w:r>
      <w:r w:rsidR="00D40D96">
        <w:t>partnering</w:t>
      </w:r>
    </w:p>
    <w:p w14:paraId="30DAB185" w14:textId="4204007A" w:rsidR="00D90E52" w:rsidRDefault="007261A5" w:rsidP="0033706F">
      <w:pPr>
        <w:pStyle w:val="ListParagraph"/>
        <w:numPr>
          <w:ilvl w:val="0"/>
          <w:numId w:val="11"/>
        </w:numPr>
      </w:pPr>
      <w:r>
        <w:t>Industry</w:t>
      </w:r>
      <w:r w:rsidR="00C06781">
        <w:t xml:space="preserve"> - </w:t>
      </w:r>
      <w:r w:rsidR="00D90E52">
        <w:t>To elevate the knowledge and level of practice of the U.S. rail industry</w:t>
      </w:r>
    </w:p>
    <w:p w14:paraId="30D3635A" w14:textId="77777777" w:rsidR="00AC5CAA" w:rsidRDefault="00AC5CAA" w:rsidP="00AC5CAA">
      <w:pPr>
        <w:pStyle w:val="ListParagraph"/>
      </w:pPr>
    </w:p>
    <w:p w14:paraId="10B83D00" w14:textId="6EEE5339" w:rsidR="007261A5" w:rsidRDefault="007261A5" w:rsidP="00AA5F58">
      <w:r>
        <w:lastRenderedPageBreak/>
        <w:t xml:space="preserve">The predominant activity in </w:t>
      </w:r>
      <w:r w:rsidR="00280F49">
        <w:t>MTAP</w:t>
      </w:r>
      <w:r>
        <w:t xml:space="preserve"> is </w:t>
      </w:r>
      <w:r w:rsidR="00D40D96">
        <w:t>assisting FRA with project oversig</w:t>
      </w:r>
      <w:r>
        <w:t xml:space="preserve">ht.  Characterized by a high level of proactive engagement, dialogue and problem solving with the Grantee and Federal team, MTAC contractors performing oversight, fully understand the projects, consider project content and approach, advise and recommend approaches, and evaluate risks.  They </w:t>
      </w:r>
      <w:r w:rsidR="00D40D96">
        <w:t>support FRA i</w:t>
      </w:r>
      <w:r w:rsidR="00D40D96" w:rsidRPr="00D40D96">
        <w:t>nvolvement</w:t>
      </w:r>
      <w:r w:rsidR="00D40D96">
        <w:t xml:space="preserve"> in the G</w:t>
      </w:r>
      <w:r w:rsidRPr="00D40D96">
        <w:t>rantees’ projects, and make positive contributions to the overall</w:t>
      </w:r>
      <w:r>
        <w:t xml:space="preserve"> endeavor.  </w:t>
      </w:r>
      <w:r w:rsidR="00AA5F58">
        <w:t xml:space="preserve">Oversight is typically done by the “resident” MTAC and its consultants, supported by Federal staff.  </w:t>
      </w:r>
    </w:p>
    <w:p w14:paraId="0708D703" w14:textId="77777777" w:rsidR="007261A5" w:rsidRDefault="007261A5" w:rsidP="007261A5"/>
    <w:p w14:paraId="39BFFA2A" w14:textId="1C6C7A43" w:rsidR="00E74A80" w:rsidRDefault="007261A5" w:rsidP="007261A5">
      <w:r>
        <w:t xml:space="preserve">Another activity in </w:t>
      </w:r>
      <w:r w:rsidR="00280F49">
        <w:t>MTAP</w:t>
      </w:r>
      <w:r>
        <w:t xml:space="preserve"> is Technical Assistance. </w:t>
      </w:r>
      <w:r w:rsidR="00552129">
        <w:t xml:space="preserve"> </w:t>
      </w:r>
      <w:r w:rsidR="00AC5CAA">
        <w:t>Special T</w:t>
      </w:r>
      <w:r w:rsidR="00552129">
        <w:t>asks</w:t>
      </w:r>
      <w:r w:rsidR="00AC5CAA">
        <w:t>/T</w:t>
      </w:r>
      <w:r w:rsidR="00552129" w:rsidRPr="00552129">
        <w:t xml:space="preserve">echnical </w:t>
      </w:r>
      <w:r w:rsidR="00AC5CAA">
        <w:t>A</w:t>
      </w:r>
      <w:r w:rsidR="00552129" w:rsidRPr="00552129">
        <w:t>ssistance go furthe</w:t>
      </w:r>
      <w:r w:rsidR="00552129">
        <w:t xml:space="preserve">r than oversight -- into the realm of </w:t>
      </w:r>
      <w:r w:rsidR="00552129" w:rsidRPr="00552129">
        <w:t>teaching, training, tutoring</w:t>
      </w:r>
      <w:r w:rsidR="00552129">
        <w:t xml:space="preserve">, </w:t>
      </w:r>
      <w:r w:rsidR="00612ABB">
        <w:t xml:space="preserve">special studies, </w:t>
      </w:r>
      <w:r w:rsidR="00552129">
        <w:t>presentations</w:t>
      </w:r>
      <w:r w:rsidR="00552129" w:rsidRPr="00552129">
        <w:t xml:space="preserve"> on identified topics</w:t>
      </w:r>
      <w:r w:rsidR="00552129">
        <w:t xml:space="preserve">.  </w:t>
      </w:r>
      <w:r w:rsidR="00D40D96">
        <w:t xml:space="preserve">Technical assistance needs are identified through oversight and may be customized to </w:t>
      </w:r>
      <w:r>
        <w:t>one Grantee or to a national audience</w:t>
      </w:r>
      <w:r w:rsidR="00D40D96">
        <w:t xml:space="preserve"> depending on the issue. </w:t>
      </w:r>
      <w:r w:rsidR="00E74A80">
        <w:t xml:space="preserve"> </w:t>
      </w:r>
      <w:r w:rsidR="00E74A80" w:rsidRPr="00E74A80">
        <w:t xml:space="preserve">Either way, the work should further these FRA goals:  Elevate the knowledge base in the industry; improve FRA’s oversight capabilities; and achieve higher-quality projects.    </w:t>
      </w:r>
      <w:r w:rsidR="00D40D96">
        <w:t xml:space="preserve"> </w:t>
      </w:r>
    </w:p>
    <w:p w14:paraId="60BF380A" w14:textId="77777777" w:rsidR="00E74A80" w:rsidRDefault="00E74A80" w:rsidP="007261A5"/>
    <w:p w14:paraId="2FA122CF" w14:textId="7249620C" w:rsidR="00E74A80" w:rsidRDefault="00E74A80" w:rsidP="007261A5">
      <w:r>
        <w:t xml:space="preserve">Technical Assistance can be done by the “resident” MTAC and its consultants, supported by Federal staff.  However it </w:t>
      </w:r>
      <w:r w:rsidRPr="00E74A80">
        <w:t>can</w:t>
      </w:r>
      <w:r>
        <w:t xml:space="preserve"> and frequently does</w:t>
      </w:r>
      <w:r w:rsidRPr="00E74A80">
        <w:t xml:space="preserve"> include other grantees, MTAC, and staff,</w:t>
      </w:r>
      <w:r>
        <w:t xml:space="preserve"> as shown in these examples:  </w:t>
      </w:r>
    </w:p>
    <w:p w14:paraId="6E9CA235" w14:textId="058FD199" w:rsidR="00E74A80" w:rsidRDefault="00E74A80" w:rsidP="00E74A80">
      <w:pPr>
        <w:pStyle w:val="ListParagraph"/>
        <w:numPr>
          <w:ilvl w:val="0"/>
          <w:numId w:val="45"/>
        </w:numPr>
      </w:pPr>
      <w:r w:rsidRPr="00E74A80">
        <w:t xml:space="preserve">Because of the particular expertise of the “resident” MTAC for the Northeast, this MTAC is asked to consult on a thorny issue in the </w:t>
      </w:r>
      <w:r>
        <w:t>Midwest</w:t>
      </w:r>
      <w:r w:rsidRPr="00E74A80">
        <w:t xml:space="preserve">.      </w:t>
      </w:r>
    </w:p>
    <w:p w14:paraId="5261B377" w14:textId="085789C6" w:rsidR="00E74A80" w:rsidRDefault="00D16E9E" w:rsidP="00E74A80">
      <w:pPr>
        <w:pStyle w:val="ListParagraph"/>
        <w:numPr>
          <w:ilvl w:val="0"/>
          <w:numId w:val="45"/>
        </w:numPr>
      </w:pPr>
      <w:r w:rsidRPr="00D16E9E">
        <w:t xml:space="preserve">A peer review workshop is held to assist a </w:t>
      </w:r>
      <w:r w:rsidR="00E74A80">
        <w:t>g</w:t>
      </w:r>
      <w:r w:rsidRPr="00D16E9E">
        <w:t>rantee</w:t>
      </w:r>
      <w:r w:rsidR="00E74A80">
        <w:t xml:space="preserve"> in the Midwest</w:t>
      </w:r>
      <w:r w:rsidRPr="00D16E9E">
        <w:t xml:space="preserve"> with value engineering of a project.  </w:t>
      </w:r>
      <w:r w:rsidR="00E74A80">
        <w:t>The p</w:t>
      </w:r>
      <w:r w:rsidRPr="00D16E9E">
        <w:t>eer review</w:t>
      </w:r>
      <w:r w:rsidR="00E74A80">
        <w:t xml:space="preserve"> group includes grantees and MTACs from the Northeast.</w:t>
      </w:r>
    </w:p>
    <w:p w14:paraId="558188A5" w14:textId="092EB566" w:rsidR="007261A5" w:rsidRDefault="007261A5" w:rsidP="00E74A80">
      <w:pPr>
        <w:pStyle w:val="ListParagraph"/>
      </w:pPr>
      <w:r>
        <w:t xml:space="preserve">  </w:t>
      </w:r>
    </w:p>
    <w:p w14:paraId="074BA2E7" w14:textId="723A708F" w:rsidR="00AC5CAA" w:rsidRDefault="00AC5CAA" w:rsidP="007261A5">
      <w:r w:rsidRPr="00552129">
        <w:t xml:space="preserve">FRA wants to </w:t>
      </w:r>
      <w:r>
        <w:t xml:space="preserve">help </w:t>
      </w:r>
      <w:r w:rsidRPr="00552129">
        <w:t>develop a sense of community and partnership to encourage learning</w:t>
      </w:r>
      <w:r>
        <w:t xml:space="preserve">.  For this purpose, as part of </w:t>
      </w:r>
      <w:r w:rsidRPr="00AC5CAA">
        <w:t>Spe</w:t>
      </w:r>
      <w:r>
        <w:t>cial Tasks/Technical Assistance, regularly scheduled large national meetings will be held so that case studies, lessons learned, and best practices can be shared</w:t>
      </w:r>
      <w:r w:rsidRPr="00F65380">
        <w:t xml:space="preserve"> among the Grantees, MTAC contractors, and the Federal team</w:t>
      </w:r>
      <w:r>
        <w:t>.</w:t>
      </w:r>
      <w:r w:rsidR="00513FCE">
        <w:t xml:space="preserve">  </w:t>
      </w:r>
    </w:p>
    <w:p w14:paraId="6F8B27A8" w14:textId="77777777" w:rsidR="00AC5CAA" w:rsidRDefault="00AC5CAA" w:rsidP="007261A5"/>
    <w:p w14:paraId="4717AC99" w14:textId="050BAFF1" w:rsidR="008C2BD5" w:rsidRDefault="008C2BD5" w:rsidP="008C2BD5">
      <w:r>
        <w:t xml:space="preserve">Note that neither </w:t>
      </w:r>
      <w:r w:rsidRPr="008C2BD5">
        <w:t xml:space="preserve">MTAC oversight </w:t>
      </w:r>
      <w:r>
        <w:t>n</w:t>
      </w:r>
      <w:r w:rsidRPr="008C2BD5">
        <w:t xml:space="preserve">or technical assistance in </w:t>
      </w:r>
      <w:r>
        <w:t xml:space="preserve">any </w:t>
      </w:r>
      <w:r w:rsidRPr="008C2BD5">
        <w:t>way relieves the Grantee of</w:t>
      </w:r>
      <w:r>
        <w:t xml:space="preserve"> its responsibility </w:t>
      </w:r>
      <w:r w:rsidRPr="008C2BD5">
        <w:t>for the project</w:t>
      </w:r>
      <w:r>
        <w:t xml:space="preserve">.  </w:t>
      </w:r>
    </w:p>
    <w:p w14:paraId="60B6FA58" w14:textId="22CC0277" w:rsidR="00DA0731" w:rsidRDefault="00E86587" w:rsidP="002A0FD3">
      <w:pPr>
        <w:pStyle w:val="Heading1"/>
        <w:ind w:left="540" w:hanging="540"/>
      </w:pPr>
      <w:r>
        <w:t>MTAC S</w:t>
      </w:r>
      <w:r w:rsidR="00CE658E">
        <w:t>COPE OF WORK</w:t>
      </w:r>
    </w:p>
    <w:p w14:paraId="79400E82" w14:textId="0BEDCD42" w:rsidR="002A0FD3" w:rsidRPr="000E7141" w:rsidRDefault="002A0FD3" w:rsidP="002A0FD3">
      <w:pPr>
        <w:pStyle w:val="Heading2"/>
        <w:spacing w:before="0" w:after="0"/>
      </w:pPr>
      <w:r>
        <w:rPr>
          <w:rFonts w:asciiTheme="minorHAnsi" w:hAnsiTheme="minorHAnsi"/>
          <w:szCs w:val="22"/>
        </w:rPr>
        <w:t>Projects Covered</w:t>
      </w:r>
    </w:p>
    <w:p w14:paraId="297982AB" w14:textId="77777777" w:rsidR="002A0FD3" w:rsidRDefault="002A0FD3" w:rsidP="002A0FD3"/>
    <w:p w14:paraId="1FC0D45E" w14:textId="630E2631" w:rsidR="002A0FD3" w:rsidRPr="002A0FD3" w:rsidRDefault="002A0FD3" w:rsidP="002A0FD3">
      <w:r w:rsidRPr="00BE2CEB">
        <w:t xml:space="preserve">At present, </w:t>
      </w:r>
      <w:r w:rsidR="00280F49">
        <w:t>MTAP</w:t>
      </w:r>
      <w:r w:rsidRPr="00BE2CEB">
        <w:t xml:space="preserve"> covers HSIPR (High-speed / Intercity Passenger Rail)</w:t>
      </w:r>
      <w:r w:rsidR="00280F49">
        <w:t xml:space="preserve">, </w:t>
      </w:r>
      <w:r w:rsidRPr="00BE2CEB">
        <w:t>TIGER (Transportation Investment Generating Economic Recovery)</w:t>
      </w:r>
      <w:r w:rsidR="00280F49">
        <w:t>, and AMTRAK</w:t>
      </w:r>
      <w:r w:rsidRPr="00BE2CEB">
        <w:t xml:space="preserve"> projects, since </w:t>
      </w:r>
      <w:r w:rsidR="00280F49">
        <w:t>MTAP</w:t>
      </w:r>
      <w:r w:rsidRPr="00BE2CEB">
        <w:t xml:space="preserve"> is funded through HSIPR</w:t>
      </w:r>
      <w:r w:rsidR="00280F49">
        <w:t xml:space="preserve">, TIGER, and AMTRAK.  </w:t>
      </w:r>
      <w:r w:rsidRPr="002A0FD3">
        <w:t xml:space="preserve">However, </w:t>
      </w:r>
      <w:r w:rsidR="00280F49">
        <w:t>MTAP</w:t>
      </w:r>
      <w:r w:rsidRPr="002A0FD3">
        <w:t xml:space="preserve"> is designed to support FRA capital projects from any grant or loan program.  Should FRA </w:t>
      </w:r>
      <w:r w:rsidR="00D40D96">
        <w:t>receive</w:t>
      </w:r>
      <w:r w:rsidRPr="002A0FD3">
        <w:t xml:space="preserve"> other sources of oversight funding available, </w:t>
      </w:r>
      <w:r w:rsidR="00280F49">
        <w:t>MTAP</w:t>
      </w:r>
      <w:r w:rsidRPr="002A0FD3">
        <w:t xml:space="preserve"> may be used for projects in </w:t>
      </w:r>
      <w:r w:rsidR="00280F49">
        <w:t xml:space="preserve">FRA’s other programs, such as </w:t>
      </w:r>
      <w:r w:rsidRPr="002A0FD3">
        <w:t xml:space="preserve">RRIF, Rail Line Relocation and Improvement, and/or future funding programs. </w:t>
      </w:r>
      <w:r>
        <w:t xml:space="preserve"> </w:t>
      </w:r>
    </w:p>
    <w:p w14:paraId="439FDFE8" w14:textId="77777777" w:rsidR="002A0FD3" w:rsidRPr="00BE2CEB" w:rsidRDefault="002A0FD3" w:rsidP="002A0FD3">
      <w:pPr>
        <w:pStyle w:val="ListParagraph"/>
      </w:pPr>
    </w:p>
    <w:p w14:paraId="650E823F" w14:textId="5E91E876" w:rsidR="00636AC2" w:rsidRDefault="00280F49" w:rsidP="00636AC2">
      <w:r>
        <w:t>MTAP</w:t>
      </w:r>
      <w:r w:rsidR="002A0FD3" w:rsidRPr="00BE2CEB">
        <w:t xml:space="preserve"> covers projects funded through grants and cooperative agreements.  HSIPR projects are funded typically through cooperative agreements between FRA and the Grantees; TIGER projects are funded typically through grants</w:t>
      </w:r>
      <w:r w:rsidR="00636AC2">
        <w:t xml:space="preserve">.  </w:t>
      </w:r>
      <w:r w:rsidR="002A0FD3" w:rsidRPr="00BE2CEB">
        <w:t xml:space="preserve">FRA's grant and cooperative agreement authority is contained in 49 U.S.C. 103(i). </w:t>
      </w:r>
    </w:p>
    <w:p w14:paraId="305D26DD" w14:textId="54407C3C" w:rsidR="00E53748" w:rsidRPr="000E7141" w:rsidRDefault="00E53748" w:rsidP="00E53748">
      <w:pPr>
        <w:pStyle w:val="Heading2"/>
        <w:spacing w:before="0" w:after="0"/>
      </w:pPr>
      <w:r>
        <w:rPr>
          <w:rFonts w:asciiTheme="minorHAnsi" w:hAnsiTheme="minorHAnsi"/>
          <w:szCs w:val="22"/>
        </w:rPr>
        <w:lastRenderedPageBreak/>
        <w:t>Roles and Responsibilities</w:t>
      </w:r>
    </w:p>
    <w:p w14:paraId="00A8B93E" w14:textId="77777777" w:rsidR="00E53748" w:rsidRDefault="00E53748" w:rsidP="00E53748"/>
    <w:p w14:paraId="137F15EE" w14:textId="133D0844" w:rsidR="006258E4" w:rsidRDefault="006258E4" w:rsidP="006258E4">
      <w:pPr>
        <w:pStyle w:val="hsr1"/>
        <w:numPr>
          <w:ilvl w:val="0"/>
          <w:numId w:val="0"/>
        </w:numPr>
      </w:pPr>
      <w:r>
        <w:t xml:space="preserve">FRA engaged the Volpe Center to </w:t>
      </w:r>
      <w:r w:rsidR="00DE7AC4">
        <w:t xml:space="preserve">support </w:t>
      </w:r>
      <w:r w:rsidR="00280F49">
        <w:t>MTAP</w:t>
      </w:r>
      <w:r>
        <w:t xml:space="preserve">.  </w:t>
      </w:r>
      <w:r w:rsidR="00C23C7C">
        <w:t xml:space="preserve">Contract management and issuance of </w:t>
      </w:r>
      <w:r w:rsidR="00DE7AC4" w:rsidRPr="00DE7AC4">
        <w:t>MTAC contracts, task orders, and job orders</w:t>
      </w:r>
      <w:r w:rsidR="00C23C7C">
        <w:t xml:space="preserve"> is </w:t>
      </w:r>
      <w:r w:rsidR="00DE7AC4" w:rsidRPr="00DE7AC4">
        <w:t xml:space="preserve">through the Volpe Center. </w:t>
      </w:r>
      <w:r w:rsidR="00C23C7C">
        <w:t xml:space="preserve"> </w:t>
      </w:r>
      <w:r>
        <w:t>FRA</w:t>
      </w:r>
      <w:r w:rsidR="00FA6687">
        <w:t xml:space="preserve">’s </w:t>
      </w:r>
      <w:r w:rsidR="00DE7AC4">
        <w:t>r</w:t>
      </w:r>
      <w:r>
        <w:t>egionally-based multi-disciplinary teams</w:t>
      </w:r>
      <w:r w:rsidR="00FA6687">
        <w:t xml:space="preserve"> are</w:t>
      </w:r>
      <w:r>
        <w:t xml:space="preserve"> led by Regional Managers (RM) and on-location Project Managers (PM)</w:t>
      </w:r>
      <w:r w:rsidR="00FA6687">
        <w:t xml:space="preserve">, who </w:t>
      </w:r>
      <w:r>
        <w:t>are responsible for shepherding grantees’ projects to successful completion.  The RM/PM team</w:t>
      </w:r>
      <w:r w:rsidR="00FA6687">
        <w:t xml:space="preserve"> members are</w:t>
      </w:r>
      <w:r>
        <w:t xml:space="preserve"> FRA staff engineers, planners, environmental protection specialists, </w:t>
      </w:r>
      <w:r w:rsidR="00D40D96">
        <w:t>grant managers, financial analysts, attorneys, r</w:t>
      </w:r>
      <w:r>
        <w:t>ail safety specialists, and a Volpe staff</w:t>
      </w:r>
      <w:r w:rsidR="00D40D96">
        <w:t xml:space="preserve"> member</w:t>
      </w:r>
      <w:r w:rsidR="00FA6687">
        <w:t>.</w:t>
      </w:r>
      <w:r w:rsidR="00DE7AC4">
        <w:t xml:space="preserve"> </w:t>
      </w:r>
      <w:r w:rsidR="00FA6687">
        <w:t xml:space="preserve"> </w:t>
      </w:r>
      <w:r>
        <w:t>MTAC</w:t>
      </w:r>
      <w:r w:rsidR="00D40D96">
        <w:t>s</w:t>
      </w:r>
      <w:r>
        <w:t xml:space="preserve"> </w:t>
      </w:r>
      <w:r w:rsidR="00FA6687">
        <w:t xml:space="preserve">should discuss their work on a day-to-day basis </w:t>
      </w:r>
      <w:r>
        <w:t>with the R</w:t>
      </w:r>
      <w:r w:rsidR="00FA6687">
        <w:t xml:space="preserve">M/PM and their </w:t>
      </w:r>
      <w:r>
        <w:t>team members</w:t>
      </w:r>
      <w:r w:rsidR="00B0141A">
        <w:t xml:space="preserve"> (the Federal T</w:t>
      </w:r>
      <w:r w:rsidR="00D40D96">
        <w:t>eam)</w:t>
      </w:r>
      <w:r w:rsidR="00FA6687">
        <w:t>.</w:t>
      </w:r>
      <w:r w:rsidR="00DE7AC4">
        <w:t xml:space="preserve"> </w:t>
      </w:r>
    </w:p>
    <w:p w14:paraId="1FDD5CB4" w14:textId="77777777" w:rsidR="00F10637" w:rsidRPr="00F10637" w:rsidRDefault="00F10637" w:rsidP="00F10637">
      <w:pPr>
        <w:pStyle w:val="hsr2"/>
        <w:numPr>
          <w:ilvl w:val="0"/>
          <w:numId w:val="0"/>
        </w:numPr>
        <w:ind w:left="1152"/>
      </w:pPr>
    </w:p>
    <w:p w14:paraId="5C63BF0F" w14:textId="5009DAA1" w:rsidR="00DE7AC4" w:rsidRDefault="0047655B" w:rsidP="00F10637">
      <w:pPr>
        <w:pStyle w:val="hsr1"/>
        <w:numPr>
          <w:ilvl w:val="0"/>
          <w:numId w:val="0"/>
        </w:numPr>
        <w:jc w:val="center"/>
      </w:pPr>
      <w:r w:rsidRPr="0047655B">
        <w:rPr>
          <w:noProof/>
        </w:rPr>
        <w:drawing>
          <wp:inline distT="0" distB="0" distL="0" distR="0" wp14:anchorId="7B3FF4FD" wp14:editId="06D60ADC">
            <wp:extent cx="3884418" cy="423079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7924" cy="4234617"/>
                    </a:xfrm>
                    <a:prstGeom prst="rect">
                      <a:avLst/>
                    </a:prstGeom>
                    <a:noFill/>
                    <a:ln>
                      <a:noFill/>
                    </a:ln>
                  </pic:spPr>
                </pic:pic>
              </a:graphicData>
            </a:graphic>
          </wp:inline>
        </w:drawing>
      </w:r>
    </w:p>
    <w:p w14:paraId="02F8DA5A" w14:textId="77777777" w:rsidR="00F10637" w:rsidRPr="00F10637" w:rsidRDefault="00F10637" w:rsidP="00F10637">
      <w:pPr>
        <w:pStyle w:val="hsr2"/>
        <w:numPr>
          <w:ilvl w:val="0"/>
          <w:numId w:val="0"/>
        </w:numPr>
        <w:ind w:left="1152"/>
      </w:pPr>
    </w:p>
    <w:p w14:paraId="6656FF22" w14:textId="77777777" w:rsidR="0091417C" w:rsidRDefault="00DE7AC4" w:rsidP="00EE0E48">
      <w:pPr>
        <w:pStyle w:val="hsr1"/>
        <w:numPr>
          <w:ilvl w:val="0"/>
          <w:numId w:val="0"/>
        </w:numPr>
      </w:pPr>
      <w:r>
        <w:t>I</w:t>
      </w:r>
      <w:r w:rsidR="006258E4">
        <w:t>n general, th</w:t>
      </w:r>
      <w:r w:rsidR="009718BC">
        <w:t xml:space="preserve">e MTACs are to exercise their professional expertise, professional judgment, and communicate well with all parties.  </w:t>
      </w:r>
      <w:r w:rsidR="00EE0E48">
        <w:t xml:space="preserve">The MTACs are to develop and regularly maintain contact with the Federal team; based on direction from the Federal team, develop and regularly maintain contact with a Grantee’s organization with key personnel in multiple departments; avoid relying on only one source for information; coordinate with other MTACs covering the same Grantee (if applicable).  </w:t>
      </w:r>
    </w:p>
    <w:p w14:paraId="723B51C5" w14:textId="77777777" w:rsidR="0091417C" w:rsidRDefault="0091417C" w:rsidP="00EE0E48">
      <w:pPr>
        <w:pStyle w:val="hsr1"/>
        <w:numPr>
          <w:ilvl w:val="0"/>
          <w:numId w:val="0"/>
        </w:numPr>
      </w:pPr>
    </w:p>
    <w:p w14:paraId="1957B4F4" w14:textId="3286A381" w:rsidR="009718BC" w:rsidRDefault="00EE0E48" w:rsidP="00EE0E48">
      <w:pPr>
        <w:pStyle w:val="hsr1"/>
        <w:numPr>
          <w:ilvl w:val="0"/>
          <w:numId w:val="0"/>
        </w:numPr>
      </w:pPr>
      <w:r>
        <w:t>The MTACs are to report. (Refer to Appendix A below).</w:t>
      </w:r>
    </w:p>
    <w:p w14:paraId="4BEA7656" w14:textId="77777777" w:rsidR="00616328" w:rsidRDefault="00616328" w:rsidP="00616328">
      <w:pPr>
        <w:pStyle w:val="hsr2"/>
        <w:numPr>
          <w:ilvl w:val="0"/>
          <w:numId w:val="0"/>
        </w:numPr>
        <w:ind w:left="720"/>
      </w:pPr>
    </w:p>
    <w:p w14:paraId="7CCAA3FF" w14:textId="77777777" w:rsidR="00616328" w:rsidRPr="00616328" w:rsidRDefault="00616328" w:rsidP="00616328">
      <w:pPr>
        <w:pStyle w:val="hsr3"/>
        <w:numPr>
          <w:ilvl w:val="0"/>
          <w:numId w:val="0"/>
        </w:numPr>
        <w:ind w:left="1080"/>
      </w:pPr>
    </w:p>
    <w:p w14:paraId="3EE06C49" w14:textId="77777777" w:rsidR="009718BC" w:rsidRDefault="009718BC" w:rsidP="006258E4">
      <w:pPr>
        <w:pStyle w:val="hsr1"/>
        <w:numPr>
          <w:ilvl w:val="0"/>
          <w:numId w:val="0"/>
        </w:numPr>
      </w:pPr>
    </w:p>
    <w:p w14:paraId="14CA2A44" w14:textId="77777777" w:rsidR="009718BC" w:rsidRDefault="009718BC" w:rsidP="006258E4">
      <w:pPr>
        <w:pStyle w:val="hsr1"/>
        <w:numPr>
          <w:ilvl w:val="0"/>
          <w:numId w:val="0"/>
        </w:numPr>
      </w:pPr>
      <w:r>
        <w:lastRenderedPageBreak/>
        <w:t>The MTACs are to do the following:</w:t>
      </w:r>
    </w:p>
    <w:p w14:paraId="733863C0" w14:textId="06EC38AE" w:rsidR="009718BC" w:rsidRDefault="009718BC" w:rsidP="009718BC">
      <w:pPr>
        <w:pStyle w:val="hsr1"/>
        <w:numPr>
          <w:ilvl w:val="0"/>
          <w:numId w:val="46"/>
        </w:numPr>
        <w:ind w:left="540" w:hanging="180"/>
      </w:pPr>
      <w:r>
        <w:t>I</w:t>
      </w:r>
      <w:r w:rsidR="006258E4">
        <w:t>nvestigate</w:t>
      </w:r>
      <w:r>
        <w:t xml:space="preserve"> and </w:t>
      </w:r>
      <w:r w:rsidR="006258E4">
        <w:t>stud</w:t>
      </w:r>
      <w:r>
        <w:t xml:space="preserve">y the projects -- </w:t>
      </w:r>
      <w:r w:rsidRPr="009718BC">
        <w:t xml:space="preserve">the project scope, schedule, budget, and FRA terms and </w:t>
      </w:r>
      <w:r>
        <w:t>c</w:t>
      </w:r>
      <w:r w:rsidRPr="009718BC">
        <w:t>onditions</w:t>
      </w:r>
      <w:r>
        <w:t>,</w:t>
      </w:r>
      <w:r w:rsidRPr="009718BC">
        <w:t xml:space="preserve"> in sufficient detail to evaluate and track the progress, project management approach, </w:t>
      </w:r>
      <w:r>
        <w:t>challen</w:t>
      </w:r>
      <w:r w:rsidR="00EE0E48">
        <w:t>ges, issues, and risks;</w:t>
      </w:r>
    </w:p>
    <w:p w14:paraId="41668F8D" w14:textId="079ECDEC" w:rsidR="00EE0E48" w:rsidRDefault="009718BC" w:rsidP="00EE0E48">
      <w:pPr>
        <w:pStyle w:val="hsr1"/>
        <w:numPr>
          <w:ilvl w:val="0"/>
          <w:numId w:val="46"/>
        </w:numPr>
        <w:ind w:left="540" w:hanging="180"/>
      </w:pPr>
      <w:r>
        <w:t>E</w:t>
      </w:r>
      <w:r w:rsidR="006258E4">
        <w:t>ngage, d</w:t>
      </w:r>
      <w:r w:rsidR="0025245F">
        <w:t>iscuss</w:t>
      </w:r>
      <w:r w:rsidR="006258E4">
        <w:t xml:space="preserve">, </w:t>
      </w:r>
      <w:r>
        <w:t>and consider options and alternatives</w:t>
      </w:r>
      <w:r w:rsidR="00EE0E48">
        <w:t>,</w:t>
      </w:r>
      <w:r w:rsidR="00E46048">
        <w:t xml:space="preserve"> for all topics</w:t>
      </w:r>
      <w:r w:rsidR="00EE0E48">
        <w:t xml:space="preserve"> including the </w:t>
      </w:r>
      <w:r>
        <w:t xml:space="preserve">Grantees’ technical capacity and capability to manage the projects, to meet goals during </w:t>
      </w:r>
      <w:r w:rsidR="00EE0E48">
        <w:t xml:space="preserve">all phases; </w:t>
      </w:r>
    </w:p>
    <w:p w14:paraId="22414356" w14:textId="79898E79" w:rsidR="00EE0E48" w:rsidRPr="00EE0E48" w:rsidRDefault="009718BC" w:rsidP="00EE0E48">
      <w:pPr>
        <w:pStyle w:val="hsr1"/>
        <w:numPr>
          <w:ilvl w:val="0"/>
          <w:numId w:val="46"/>
        </w:numPr>
        <w:ind w:left="540" w:hanging="180"/>
      </w:pPr>
      <w:r>
        <w:t>Identify problems and uncertainties in a timely manner</w:t>
      </w:r>
      <w:r w:rsidR="00EE0E48">
        <w:t>; d</w:t>
      </w:r>
      <w:r w:rsidR="00EE0E48" w:rsidRPr="00EE0E48">
        <w:t xml:space="preserve">iscussing findings, conclusions and recommendations with the Grantee and Federal team – recommendations for courses of action for the Grantee and others to take.  The FRA takes the recommendation into account when deciding how to proceed. </w:t>
      </w:r>
    </w:p>
    <w:p w14:paraId="3A921F62" w14:textId="7030D290" w:rsidR="00EE0E48" w:rsidRDefault="00EE0E48" w:rsidP="00EE0E48">
      <w:pPr>
        <w:pStyle w:val="hsr1"/>
        <w:numPr>
          <w:ilvl w:val="0"/>
          <w:numId w:val="46"/>
        </w:numPr>
        <w:ind w:left="540" w:hanging="180"/>
      </w:pPr>
      <w:r>
        <w:t>D</w:t>
      </w:r>
      <w:r w:rsidRPr="00EE0E48">
        <w:t>raw conclusions</w:t>
      </w:r>
      <w:r>
        <w:t>, and p</w:t>
      </w:r>
      <w:r w:rsidRPr="00EE0E48">
        <w:t>rovid</w:t>
      </w:r>
      <w:r>
        <w:t xml:space="preserve">e </w:t>
      </w:r>
      <w:r w:rsidRPr="00EE0E48">
        <w:t>professional opinions on the Grantee’s work to the Federal team</w:t>
      </w:r>
      <w:r>
        <w:t>;</w:t>
      </w:r>
    </w:p>
    <w:p w14:paraId="53E27773" w14:textId="10420917" w:rsidR="00EE0E48" w:rsidRDefault="00EE0E48" w:rsidP="00EE0E48">
      <w:pPr>
        <w:pStyle w:val="hsr1"/>
        <w:numPr>
          <w:ilvl w:val="0"/>
          <w:numId w:val="46"/>
        </w:numPr>
        <w:ind w:left="540" w:hanging="180"/>
      </w:pPr>
      <w:r>
        <w:t>P</w:t>
      </w:r>
      <w:r w:rsidRPr="00EE0E48">
        <w:t xml:space="preserve">roactively </w:t>
      </w:r>
      <w:r>
        <w:t xml:space="preserve">help to </w:t>
      </w:r>
      <w:r w:rsidRPr="00EE0E48">
        <w:t>solv</w:t>
      </w:r>
      <w:r>
        <w:t>e</w:t>
      </w:r>
      <w:r w:rsidRPr="00EE0E48">
        <w:t xml:space="preserve"> problems with the Grantee and FRA</w:t>
      </w:r>
      <w:r w:rsidR="00E46048">
        <w:t>.</w:t>
      </w:r>
    </w:p>
    <w:p w14:paraId="2F5C87E6" w14:textId="77777777" w:rsidR="009718BC" w:rsidRDefault="009718BC" w:rsidP="009718BC">
      <w:pPr>
        <w:pStyle w:val="hsr2"/>
        <w:numPr>
          <w:ilvl w:val="0"/>
          <w:numId w:val="0"/>
        </w:numPr>
      </w:pPr>
    </w:p>
    <w:p w14:paraId="1078E4D9" w14:textId="77777777" w:rsidR="00DD0B83" w:rsidRPr="00532082" w:rsidRDefault="00DD0B83" w:rsidP="00DD0B83">
      <w:pPr>
        <w:pStyle w:val="Heading2"/>
        <w:spacing w:before="0" w:after="0"/>
      </w:pPr>
      <w:r w:rsidRPr="00532082">
        <w:rPr>
          <w:rFonts w:asciiTheme="minorHAnsi" w:hAnsiTheme="minorHAnsi"/>
          <w:szCs w:val="22"/>
        </w:rPr>
        <w:t xml:space="preserve">Monitoring Procedures (MP) </w:t>
      </w:r>
    </w:p>
    <w:p w14:paraId="08F004BE" w14:textId="77777777" w:rsidR="00DD0B83" w:rsidRDefault="00DD0B83" w:rsidP="00DD0B83">
      <w:pPr>
        <w:rPr>
          <w:b/>
        </w:rPr>
      </w:pPr>
    </w:p>
    <w:p w14:paraId="7AF2B16E" w14:textId="77777777" w:rsidR="00DD0B83" w:rsidRDefault="00DD0B83" w:rsidP="00DD0B83">
      <w:r w:rsidRPr="0025245F">
        <w:t xml:space="preserve">Having a clear </w:t>
      </w:r>
      <w:r>
        <w:t xml:space="preserve">oversight structure is critically important for the Federal team, the Grantees, and the MTACs.  </w:t>
      </w:r>
      <w:r w:rsidRPr="0025245F">
        <w:t>The MPs provide that structure</w:t>
      </w:r>
      <w:r>
        <w:t>, standards for</w:t>
      </w:r>
      <w:r w:rsidRPr="0025245F">
        <w:t xml:space="preserve"> </w:t>
      </w:r>
      <w:r>
        <w:t xml:space="preserve">good practice, and they help establish </w:t>
      </w:r>
      <w:r w:rsidRPr="0025245F">
        <w:t>consistency</w:t>
      </w:r>
      <w:r>
        <w:t xml:space="preserve"> in application of the standards. The MPs are organized into Sections: </w:t>
      </w:r>
    </w:p>
    <w:p w14:paraId="4B8DC2F2" w14:textId="77777777" w:rsidR="00DD0B83" w:rsidRDefault="00DD0B83" w:rsidP="00DD0B83">
      <w:pPr>
        <w:pStyle w:val="ListParagraph"/>
        <w:numPr>
          <w:ilvl w:val="0"/>
          <w:numId w:val="20"/>
        </w:numPr>
      </w:pPr>
      <w:r w:rsidRPr="00480172">
        <w:t>Program Support</w:t>
      </w:r>
    </w:p>
    <w:p w14:paraId="187C8CAB" w14:textId="77777777" w:rsidR="00DD0B83" w:rsidRDefault="00DD0B83" w:rsidP="00DD0B83">
      <w:pPr>
        <w:pStyle w:val="ListParagraph"/>
        <w:numPr>
          <w:ilvl w:val="0"/>
          <w:numId w:val="20"/>
        </w:numPr>
      </w:pPr>
      <w:r w:rsidRPr="00480172">
        <w:t>Project Management Reviews</w:t>
      </w:r>
    </w:p>
    <w:p w14:paraId="7D2D2BEC" w14:textId="77777777" w:rsidR="00DD0B83" w:rsidRDefault="00DD0B83" w:rsidP="00DD0B83">
      <w:pPr>
        <w:pStyle w:val="ListParagraph"/>
        <w:numPr>
          <w:ilvl w:val="0"/>
          <w:numId w:val="20"/>
        </w:numPr>
      </w:pPr>
      <w:r w:rsidRPr="00480172">
        <w:t>Monitoring and Reporting</w:t>
      </w:r>
    </w:p>
    <w:p w14:paraId="48FAF897" w14:textId="77777777" w:rsidR="00DD0B83" w:rsidRDefault="00DD0B83" w:rsidP="00DD0B83">
      <w:pPr>
        <w:pStyle w:val="ListParagraph"/>
        <w:numPr>
          <w:ilvl w:val="0"/>
          <w:numId w:val="20"/>
        </w:numPr>
      </w:pPr>
      <w:r w:rsidRPr="00480172">
        <w:t>Technical Reviews</w:t>
      </w:r>
    </w:p>
    <w:p w14:paraId="5F1F9C6F" w14:textId="77777777" w:rsidR="00DD0B83" w:rsidRDefault="00DD0B83" w:rsidP="00DD0B83">
      <w:pPr>
        <w:pStyle w:val="ListParagraph"/>
        <w:numPr>
          <w:ilvl w:val="0"/>
          <w:numId w:val="20"/>
        </w:numPr>
      </w:pPr>
      <w:r>
        <w:t>Technical Assistance</w:t>
      </w:r>
    </w:p>
    <w:p w14:paraId="5AC13786" w14:textId="77777777" w:rsidR="00DD0B83" w:rsidRDefault="00DD0B83" w:rsidP="00DD0B83"/>
    <w:p w14:paraId="3A0E0DFD" w14:textId="0D886905" w:rsidR="00DD0B83" w:rsidRDefault="00DD0B83" w:rsidP="00DD0B83">
      <w:r>
        <w:t xml:space="preserve">The MPs are Technical Direction to the MTAC contractors but they may also be of interest to Grantees, FRA staff, third party stakeholders, the railroads, Congressional oversight entities, and auditors.  The MPs will be modified and improved over time.  The current version will be posted to FRA’s website. </w:t>
      </w:r>
    </w:p>
    <w:p w14:paraId="483B75A1" w14:textId="77777777" w:rsidR="00DD0B83" w:rsidRDefault="00DD0B83" w:rsidP="00DD0B83"/>
    <w:p w14:paraId="067BC4C2" w14:textId="20E4A5D4" w:rsidR="00FA6687" w:rsidRPr="000E7141" w:rsidRDefault="00FA6687" w:rsidP="00FA6687">
      <w:pPr>
        <w:pStyle w:val="Heading2"/>
        <w:spacing w:before="0" w:after="0"/>
      </w:pPr>
      <w:r>
        <w:rPr>
          <w:rFonts w:asciiTheme="minorHAnsi" w:hAnsiTheme="minorHAnsi"/>
          <w:szCs w:val="22"/>
        </w:rPr>
        <w:t>Task Orders, Job Orders</w:t>
      </w:r>
      <w:r w:rsidR="002B1CEF">
        <w:rPr>
          <w:rFonts w:asciiTheme="minorHAnsi" w:hAnsiTheme="minorHAnsi"/>
          <w:szCs w:val="22"/>
        </w:rPr>
        <w:t>, Implementation Plans, MTAC Status Reports and Invoices</w:t>
      </w:r>
    </w:p>
    <w:p w14:paraId="1E1560A3" w14:textId="77777777" w:rsidR="00FA6687" w:rsidRPr="00BE2CEB" w:rsidRDefault="00FA6687" w:rsidP="00FA6687">
      <w:pPr>
        <w:rPr>
          <w:bCs/>
        </w:rPr>
      </w:pPr>
    </w:p>
    <w:p w14:paraId="352902CA" w14:textId="7F12389D" w:rsidR="00FA6687" w:rsidRDefault="00DD0B83" w:rsidP="00FA6687">
      <w:r>
        <w:t xml:space="preserve">Task Orders:   Task Orders </w:t>
      </w:r>
      <w:r w:rsidR="00FA6687">
        <w:t xml:space="preserve">are structured around the FRA Regions, with </w:t>
      </w:r>
      <w:r w:rsidR="00513FCE">
        <w:t xml:space="preserve">an additional </w:t>
      </w:r>
      <w:r w:rsidR="00FA6687">
        <w:t xml:space="preserve">one for </w:t>
      </w:r>
      <w:r w:rsidR="004E397F">
        <w:t>rolling stock/v</w:t>
      </w:r>
      <w:r w:rsidR="00FA6687">
        <w:t xml:space="preserve">ehicles.  Barring a conflict of interest </w:t>
      </w:r>
      <w:r w:rsidR="009A41D3">
        <w:t xml:space="preserve">(COI) </w:t>
      </w:r>
      <w:r w:rsidR="00FA6687">
        <w:t>or capacity constraint, one MTAC will oversee all of the projects in a region.  I</w:t>
      </w:r>
      <w:r w:rsidR="009A41D3">
        <w:t>n the case of COI or if the</w:t>
      </w:r>
      <w:r w:rsidR="00FA6687" w:rsidRPr="00BE2CEB">
        <w:t xml:space="preserve"> projects are too many or too large for one </w:t>
      </w:r>
      <w:r w:rsidR="009A41D3">
        <w:t>MTAC</w:t>
      </w:r>
      <w:r w:rsidR="00FA6687" w:rsidRPr="00BE2CEB">
        <w:t>, the work wil</w:t>
      </w:r>
      <w:r w:rsidR="009A41D3">
        <w:t>l be divided.</w:t>
      </w:r>
    </w:p>
    <w:p w14:paraId="015CD45B" w14:textId="77777777" w:rsidR="00FA6687" w:rsidRPr="00BE2CEB" w:rsidRDefault="00FA6687" w:rsidP="00FA6687"/>
    <w:p w14:paraId="26F1F73E" w14:textId="7E17931E" w:rsidR="00127B16" w:rsidRDefault="00EC4B77" w:rsidP="00EC4B77">
      <w:r>
        <w:t xml:space="preserve">Job Orders:  </w:t>
      </w:r>
      <w:r w:rsidRPr="00BE2CEB">
        <w:t xml:space="preserve">Activities performed under task orders will be authorized through </w:t>
      </w:r>
      <w:r>
        <w:t xml:space="preserve">Job Orders, developed by the Federal team and issued by the Volpe Center.  </w:t>
      </w:r>
      <w:r w:rsidR="00127B16">
        <w:t>A Job Order is a supplementary contracting document issued under an approved task order with a defined scope of work, and a limited period of performance.  Job Orders are subject to the approval of the COR or ACOR, who is responsible for ensuring the Job Order</w:t>
      </w:r>
      <w:r w:rsidR="00E46048">
        <w:t>s</w:t>
      </w:r>
      <w:r w:rsidR="00127B16">
        <w:t xml:space="preserve"> do not exceed the scope, cost, and performance period of the task order.</w:t>
      </w:r>
    </w:p>
    <w:p w14:paraId="392D62FB" w14:textId="77777777" w:rsidR="00127B16" w:rsidRDefault="00127B16" w:rsidP="00EC4B77"/>
    <w:p w14:paraId="0D32E08D" w14:textId="7CFB30C1" w:rsidR="00EC4B77" w:rsidRDefault="00127B16" w:rsidP="00EC4B77">
      <w:r>
        <w:t xml:space="preserve">In </w:t>
      </w:r>
      <w:r w:rsidR="00280F49">
        <w:t>MTAP</w:t>
      </w:r>
      <w:r>
        <w:t xml:space="preserve">, </w:t>
      </w:r>
      <w:r w:rsidR="00EC4B77">
        <w:t xml:space="preserve">Job Orders will be structured by calendar year (January to January).  They may </w:t>
      </w:r>
      <w:r>
        <w:t xml:space="preserve">also </w:t>
      </w:r>
      <w:r w:rsidR="00EC4B77">
        <w:t xml:space="preserve">be structured by geographic area </w:t>
      </w:r>
      <w:r>
        <w:t>and/</w:t>
      </w:r>
      <w:r w:rsidR="00EC4B77">
        <w:t xml:space="preserve">or by project phase; for example, under the Midwest Task Order, one Job Order includes all projects in Michigan; in the Southwest, one Job Order includes all PE NEPA projects.  </w:t>
      </w:r>
      <w:r w:rsidR="00EC4B77" w:rsidRPr="00AC310E">
        <w:t>T</w:t>
      </w:r>
      <w:r w:rsidR="00EC4B77">
        <w:t>his approach minimizes p</w:t>
      </w:r>
      <w:r w:rsidR="00EC4B77" w:rsidRPr="00AC310E">
        <w:t>aperwork,</w:t>
      </w:r>
      <w:r w:rsidR="00EC4B77">
        <w:t xml:space="preserve"> allows for greater work </w:t>
      </w:r>
      <w:r w:rsidR="00EC4B77" w:rsidRPr="00AC310E">
        <w:t xml:space="preserve">efficiency </w:t>
      </w:r>
      <w:r w:rsidR="00EC4B77">
        <w:t xml:space="preserve">by </w:t>
      </w:r>
      <w:r w:rsidR="00EC4B77" w:rsidRPr="00AC310E">
        <w:t xml:space="preserve">MTAC professional </w:t>
      </w:r>
      <w:r w:rsidR="00EC4B77" w:rsidRPr="00AC310E">
        <w:lastRenderedPageBreak/>
        <w:t>staf</w:t>
      </w:r>
      <w:r w:rsidR="00EC4B77">
        <w:t xml:space="preserve">f, </w:t>
      </w:r>
      <w:r w:rsidR="00EC4B77" w:rsidRPr="00AC310E">
        <w:t xml:space="preserve">and </w:t>
      </w:r>
      <w:r w:rsidR="00EC4B77">
        <w:t xml:space="preserve">greater overall </w:t>
      </w:r>
      <w:r w:rsidR="00EC4B77" w:rsidRPr="00AC310E">
        <w:t>consistency for Grantee</w:t>
      </w:r>
      <w:r w:rsidR="00EC4B77">
        <w:t>s</w:t>
      </w:r>
      <w:r w:rsidR="00EC4B77" w:rsidRPr="00AC310E">
        <w:t xml:space="preserve"> and FRA.</w:t>
      </w:r>
      <w:r w:rsidR="00EC4B77">
        <w:t xml:space="preserve">  The Job Order includes a list of hours by MP Section -- Program Support, Project Management Reviews, Monitoring and Reporting, Technical Reviews, and Technical Assistance – as well as a schedule for the reviews within the calendar year, and the agreed cost. </w:t>
      </w:r>
    </w:p>
    <w:p w14:paraId="73DD410F" w14:textId="77777777" w:rsidR="00EC4B77" w:rsidRDefault="00EC4B77" w:rsidP="00FA6687"/>
    <w:p w14:paraId="4D7F9421" w14:textId="0E0FA12F" w:rsidR="00FA6687" w:rsidRPr="00BE2CEB" w:rsidRDefault="00DD0B83" w:rsidP="00FA6687">
      <w:r>
        <w:t xml:space="preserve">Implementation Plan:  </w:t>
      </w:r>
      <w:r w:rsidR="00EC4B77">
        <w:t>T</w:t>
      </w:r>
      <w:r w:rsidR="00FA6687" w:rsidRPr="00BE2CEB">
        <w:t xml:space="preserve">he </w:t>
      </w:r>
      <w:r w:rsidR="00765ADE">
        <w:t>MTAC i</w:t>
      </w:r>
      <w:r w:rsidR="00FA6687" w:rsidRPr="00BE2CEB">
        <w:t>s required to submit a Task Order Implementation Plan, outlining the proposed approach</w:t>
      </w:r>
      <w:r w:rsidR="009A41D3">
        <w:t xml:space="preserve">, </w:t>
      </w:r>
      <w:r w:rsidR="00FA6687" w:rsidRPr="00BE2CEB">
        <w:t xml:space="preserve">identifying </w:t>
      </w:r>
      <w:r w:rsidR="00765ADE">
        <w:t xml:space="preserve">oversight and technical assistance </w:t>
      </w:r>
      <w:r w:rsidR="00FA6687" w:rsidRPr="00BE2CEB">
        <w:t xml:space="preserve">activities to be performed, </w:t>
      </w:r>
      <w:r w:rsidR="00765ADE">
        <w:t xml:space="preserve">with a related </w:t>
      </w:r>
      <w:r w:rsidR="00FA6687" w:rsidRPr="00BE2CEB">
        <w:t>schedule and cost breakdown</w:t>
      </w:r>
      <w:r w:rsidR="00765ADE">
        <w:t xml:space="preserve">.  </w:t>
      </w:r>
      <w:r w:rsidR="00EC4B77">
        <w:t xml:space="preserve"> The Implementation Plan contains more detailed information than the Job Order, as it shows the oversight efforts by MP, by project, by calendar month.  </w:t>
      </w:r>
    </w:p>
    <w:p w14:paraId="58E25AD5" w14:textId="77777777" w:rsidR="00885B3F" w:rsidRDefault="00885B3F" w:rsidP="00885B3F">
      <w:pPr>
        <w:rPr>
          <w:bCs/>
        </w:rPr>
      </w:pPr>
    </w:p>
    <w:p w14:paraId="0E7F98D4" w14:textId="373C9832" w:rsidR="00013C6D" w:rsidRDefault="006854C3" w:rsidP="00013C6D">
      <w:r>
        <w:t xml:space="preserve">MTAC Status Reports and Invoices: </w:t>
      </w:r>
      <w:r w:rsidR="00013C6D">
        <w:t xml:space="preserve"> </w:t>
      </w:r>
      <w:r w:rsidR="00AC310E">
        <w:t>Typically monthly, MTAC Status Reports</w:t>
      </w:r>
      <w:r>
        <w:t xml:space="preserve"> and Invoices are required to be </w:t>
      </w:r>
      <w:r w:rsidR="00AC310E">
        <w:t xml:space="preserve">submitted.  </w:t>
      </w:r>
      <w:r>
        <w:t>Both documents should</w:t>
      </w:r>
      <w:r w:rsidR="00AC310E">
        <w:t xml:space="preserve"> t</w:t>
      </w:r>
      <w:r w:rsidR="00AC310E" w:rsidRPr="00AC310E">
        <w:t xml:space="preserve">rack estimated versus actual costs for oversight </w:t>
      </w:r>
      <w:r w:rsidR="00AC310E">
        <w:t xml:space="preserve">for </w:t>
      </w:r>
      <w:r w:rsidR="00AC310E" w:rsidRPr="00AC310E">
        <w:t xml:space="preserve">each </w:t>
      </w:r>
      <w:r w:rsidR="00013C6D">
        <w:t>Job Order, and then as a summary, for the T</w:t>
      </w:r>
      <w:r w:rsidR="00AC310E" w:rsidRPr="00AC310E">
        <w:t>ask Order</w:t>
      </w:r>
      <w:r w:rsidR="00013C6D">
        <w:t xml:space="preserve">.  The </w:t>
      </w:r>
      <w:r>
        <w:t xml:space="preserve">MTAC </w:t>
      </w:r>
      <w:r w:rsidR="00013C6D">
        <w:t>Status Reports should reflect proper management by M</w:t>
      </w:r>
      <w:r w:rsidR="00DD0B83">
        <w:t xml:space="preserve">TACs </w:t>
      </w:r>
      <w:r w:rsidR="00013C6D">
        <w:t xml:space="preserve">of </w:t>
      </w:r>
      <w:r w:rsidR="00DD0B83">
        <w:t>the</w:t>
      </w:r>
      <w:r w:rsidR="00013C6D">
        <w:t>ir</w:t>
      </w:r>
      <w:r w:rsidR="00DD0B83">
        <w:t xml:space="preserve"> activities</w:t>
      </w:r>
      <w:r w:rsidR="00013C6D">
        <w:t xml:space="preserve">, time, and costs.  </w:t>
      </w:r>
      <w:r w:rsidRPr="006854C3">
        <w:t>The reports are for the Federal team’s use only.  This information combined with similar inform</w:t>
      </w:r>
      <w:r w:rsidR="00E46048">
        <w:t>ation from the Volpe Center on Volpe</w:t>
      </w:r>
      <w:r w:rsidRPr="006854C3">
        <w:t xml:space="preserve"> staff activities, allows FRA to monitor its entire oversight program. </w:t>
      </w:r>
      <w:r>
        <w:t xml:space="preserve"> </w:t>
      </w:r>
      <w:r w:rsidR="00013C6D">
        <w:t xml:space="preserve">The </w:t>
      </w:r>
      <w:r>
        <w:t xml:space="preserve">MTAC </w:t>
      </w:r>
      <w:r w:rsidR="00013C6D">
        <w:t>Status Reports should include:</w:t>
      </w:r>
    </w:p>
    <w:p w14:paraId="5016C8C4" w14:textId="2F886F74" w:rsidR="00013C6D" w:rsidRDefault="00013C6D" w:rsidP="00013C6D">
      <w:pPr>
        <w:pStyle w:val="ListParagraph"/>
        <w:numPr>
          <w:ilvl w:val="0"/>
          <w:numId w:val="44"/>
        </w:numPr>
      </w:pPr>
      <w:r>
        <w:t>Narrative regarding major completed tasks, and significant events in the next 90 days</w:t>
      </w:r>
    </w:p>
    <w:p w14:paraId="0770DDFC" w14:textId="77777777" w:rsidR="006854C3" w:rsidRDefault="006854C3" w:rsidP="006854C3">
      <w:pPr>
        <w:pStyle w:val="ListParagraph"/>
        <w:numPr>
          <w:ilvl w:val="0"/>
          <w:numId w:val="44"/>
        </w:numPr>
      </w:pPr>
      <w:r>
        <w:t>Graph and table of cost and hours, planned and actual showing three month</w:t>
      </w:r>
    </w:p>
    <w:p w14:paraId="59169243" w14:textId="01EE2D0E" w:rsidR="006854C3" w:rsidRPr="006854C3" w:rsidRDefault="00013C6D" w:rsidP="006854C3">
      <w:pPr>
        <w:pStyle w:val="ListParagraph"/>
        <w:numPr>
          <w:ilvl w:val="0"/>
          <w:numId w:val="44"/>
        </w:numPr>
      </w:pPr>
      <w:r>
        <w:t>Reasons for variances betwe</w:t>
      </w:r>
      <w:r w:rsidR="006854C3">
        <w:t xml:space="preserve">en planned and actuals for </w:t>
      </w:r>
      <w:r>
        <w:t>hours and costs</w:t>
      </w:r>
      <w:r w:rsidR="006854C3">
        <w:t>; ch</w:t>
      </w:r>
      <w:r w:rsidR="006854C3" w:rsidRPr="006854C3">
        <w:t>anges to the Implementation Plan, if an</w:t>
      </w:r>
      <w:r w:rsidR="006854C3">
        <w:t xml:space="preserve">y; </w:t>
      </w:r>
      <w:r w:rsidR="006854C3" w:rsidRPr="006854C3">
        <w:t xml:space="preserve">a </w:t>
      </w:r>
      <w:r w:rsidR="006854C3">
        <w:t xml:space="preserve">proposed </w:t>
      </w:r>
      <w:r w:rsidR="006854C3" w:rsidRPr="006854C3">
        <w:t xml:space="preserve">reconciliation of </w:t>
      </w:r>
      <w:r w:rsidR="006854C3">
        <w:t xml:space="preserve">variances, and </w:t>
      </w:r>
      <w:r w:rsidR="006854C3" w:rsidRPr="006854C3">
        <w:t>a plan for future expenditure rates.</w:t>
      </w:r>
    </w:p>
    <w:p w14:paraId="68287300" w14:textId="77777777" w:rsidR="00616328" w:rsidRDefault="00013C6D" w:rsidP="00DA0731">
      <w:pPr>
        <w:pStyle w:val="ListParagraph"/>
        <w:numPr>
          <w:ilvl w:val="0"/>
          <w:numId w:val="44"/>
        </w:numPr>
        <w:sectPr w:rsidR="00616328" w:rsidSect="002A2725">
          <w:footerReference w:type="default" r:id="rId14"/>
          <w:pgSz w:w="12240" w:h="15840"/>
          <w:pgMar w:top="1440" w:right="1440" w:bottom="1440" w:left="1440" w:header="720" w:footer="720" w:gutter="0"/>
          <w:cols w:space="720"/>
          <w:docGrid w:linePitch="360"/>
        </w:sectPr>
      </w:pPr>
      <w:r>
        <w:t>Draft Lessons Learned / Best Practices</w:t>
      </w:r>
    </w:p>
    <w:p w14:paraId="04CC670D" w14:textId="538520FF" w:rsidR="00616328" w:rsidRDefault="00616328" w:rsidP="00616328">
      <w:pPr>
        <w:pStyle w:val="Heading2"/>
        <w:numPr>
          <w:ilvl w:val="0"/>
          <w:numId w:val="0"/>
        </w:numPr>
        <w:spacing w:before="0" w:after="0"/>
        <w:ind w:left="576" w:hanging="576"/>
        <w:rPr>
          <w:rFonts w:asciiTheme="minorHAnsi" w:hAnsiTheme="minorHAnsi"/>
          <w:szCs w:val="22"/>
        </w:rPr>
      </w:pPr>
      <w:r w:rsidRPr="004E5009">
        <w:rPr>
          <w:b w:val="0"/>
          <w:noProof/>
          <w:color w:val="0000FF"/>
          <w:sz w:val="20"/>
          <w:szCs w:val="20"/>
        </w:rPr>
        <w:lastRenderedPageBreak/>
        <mc:AlternateContent>
          <mc:Choice Requires="wps">
            <w:drawing>
              <wp:anchor distT="0" distB="0" distL="114300" distR="114300" simplePos="0" relativeHeight="251661312" behindDoc="0" locked="0" layoutInCell="1" allowOverlap="1" wp14:anchorId="7D7208C5" wp14:editId="354FA6D0">
                <wp:simplePos x="0" y="0"/>
                <wp:positionH relativeFrom="column">
                  <wp:posOffset>3876675</wp:posOffset>
                </wp:positionH>
                <wp:positionV relativeFrom="paragraph">
                  <wp:posOffset>164465</wp:posOffset>
                </wp:positionV>
                <wp:extent cx="1905000" cy="3009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09900"/>
                        </a:xfrm>
                        <a:prstGeom prst="rect">
                          <a:avLst/>
                        </a:prstGeom>
                        <a:solidFill>
                          <a:srgbClr val="FFFFFF"/>
                        </a:solidFill>
                        <a:ln w="9525">
                          <a:solidFill>
                            <a:srgbClr val="000000"/>
                          </a:solidFill>
                          <a:miter lim="800000"/>
                          <a:headEnd/>
                          <a:tailEnd/>
                        </a:ln>
                      </wps:spPr>
                      <wps:txbx>
                        <w:txbxContent>
                          <w:p w14:paraId="4EE04108" w14:textId="77777777" w:rsidR="00616328" w:rsidRDefault="00616328" w:rsidP="00616328">
                            <w:pPr>
                              <w:jc w:val="center"/>
                            </w:pPr>
                          </w:p>
                          <w:p w14:paraId="0C2BAED8" w14:textId="77777777" w:rsidR="00616328" w:rsidRDefault="00616328" w:rsidP="00616328">
                            <w:pPr>
                              <w:jc w:val="center"/>
                              <w:rPr>
                                <w:sz w:val="20"/>
                                <w:szCs w:val="20"/>
                              </w:rPr>
                            </w:pPr>
                          </w:p>
                          <w:p w14:paraId="4BA3F767" w14:textId="77777777" w:rsidR="00616328" w:rsidRPr="000A0018" w:rsidRDefault="00616328" w:rsidP="00166174">
                            <w:pPr>
                              <w:jc w:val="center"/>
                              <w:rPr>
                                <w:sz w:val="20"/>
                                <w:szCs w:val="20"/>
                              </w:rPr>
                            </w:pPr>
                            <w:r>
                              <w:rPr>
                                <w:sz w:val="20"/>
                                <w:szCs w:val="20"/>
                              </w:rPr>
                              <w:t xml:space="preserve">Scope, </w:t>
                            </w:r>
                            <w:r w:rsidRPr="000A0018">
                              <w:rPr>
                                <w:sz w:val="20"/>
                                <w:szCs w:val="20"/>
                              </w:rPr>
                              <w:t>Capital Cost</w:t>
                            </w:r>
                            <w:r>
                              <w:rPr>
                                <w:sz w:val="20"/>
                                <w:szCs w:val="20"/>
                              </w:rPr>
                              <w:t xml:space="preserve">, Schedule </w:t>
                            </w:r>
                            <w:r w:rsidRPr="000A0018">
                              <w:rPr>
                                <w:sz w:val="20"/>
                                <w:szCs w:val="20"/>
                              </w:rPr>
                              <w:t>Review</w:t>
                            </w:r>
                            <w:r>
                              <w:rPr>
                                <w:sz w:val="20"/>
                                <w:szCs w:val="20"/>
                              </w:rPr>
                              <w:t>s</w:t>
                            </w:r>
                          </w:p>
                          <w:p w14:paraId="6C57121E" w14:textId="77777777" w:rsidR="00616328" w:rsidRPr="000A0018" w:rsidRDefault="00616328" w:rsidP="00616328">
                            <w:pPr>
                              <w:jc w:val="center"/>
                              <w:rPr>
                                <w:sz w:val="20"/>
                                <w:szCs w:val="20"/>
                              </w:rPr>
                            </w:pPr>
                          </w:p>
                          <w:p w14:paraId="635F08B9" w14:textId="77777777" w:rsidR="00616328" w:rsidRPr="000A0018" w:rsidRDefault="00616328" w:rsidP="00616328">
                            <w:pPr>
                              <w:jc w:val="center"/>
                              <w:rPr>
                                <w:sz w:val="18"/>
                                <w:szCs w:val="18"/>
                              </w:rPr>
                            </w:pPr>
                            <w:r w:rsidRPr="000A0018">
                              <w:rPr>
                                <w:sz w:val="18"/>
                                <w:szCs w:val="18"/>
                              </w:rPr>
                              <w:t xml:space="preserve">Task Order </w:t>
                            </w:r>
                            <w:r>
                              <w:rPr>
                                <w:sz w:val="18"/>
                                <w:szCs w:val="18"/>
                              </w:rPr>
                              <w:t>5</w:t>
                            </w:r>
                          </w:p>
                          <w:p w14:paraId="4FDE9CC3" w14:textId="77777777" w:rsidR="00616328" w:rsidRDefault="00616328" w:rsidP="00616328">
                            <w:pPr>
                              <w:jc w:val="center"/>
                              <w:rPr>
                                <w:sz w:val="18"/>
                                <w:szCs w:val="18"/>
                              </w:rPr>
                            </w:pPr>
                            <w:r w:rsidRPr="000A0018">
                              <w:rPr>
                                <w:sz w:val="18"/>
                                <w:szCs w:val="18"/>
                              </w:rPr>
                              <w:t xml:space="preserve">Job Order </w:t>
                            </w:r>
                            <w:r>
                              <w:rPr>
                                <w:sz w:val="18"/>
                                <w:szCs w:val="18"/>
                              </w:rPr>
                              <w:t>2</w:t>
                            </w:r>
                          </w:p>
                          <w:p w14:paraId="2A30D2D6" w14:textId="77777777" w:rsidR="00616328" w:rsidRDefault="00616328" w:rsidP="00616328">
                            <w:pPr>
                              <w:jc w:val="center"/>
                              <w:rPr>
                                <w:sz w:val="18"/>
                                <w:szCs w:val="18"/>
                              </w:rPr>
                            </w:pPr>
                          </w:p>
                          <w:p w14:paraId="2E152818" w14:textId="77777777" w:rsidR="00616328" w:rsidRDefault="00616328" w:rsidP="00616328">
                            <w:pPr>
                              <w:jc w:val="center"/>
                              <w:rPr>
                                <w:sz w:val="20"/>
                                <w:szCs w:val="20"/>
                              </w:rPr>
                            </w:pPr>
                            <w:r>
                              <w:rPr>
                                <w:sz w:val="20"/>
                                <w:szCs w:val="20"/>
                              </w:rPr>
                              <w:t>Eleven Projects in Michigan</w:t>
                            </w:r>
                          </w:p>
                          <w:p w14:paraId="7CAFFE13" w14:textId="77777777" w:rsidR="00616328" w:rsidRPr="000A0018" w:rsidRDefault="00616328" w:rsidP="00616328">
                            <w:pPr>
                              <w:jc w:val="center"/>
                              <w:rPr>
                                <w:sz w:val="20"/>
                                <w:szCs w:val="20"/>
                              </w:rPr>
                            </w:pPr>
                            <w:r>
                              <w:rPr>
                                <w:sz w:val="20"/>
                                <w:szCs w:val="20"/>
                              </w:rPr>
                              <w:t>MO Dept. of Transportation</w:t>
                            </w:r>
                          </w:p>
                          <w:p w14:paraId="06B32B8C" w14:textId="77777777" w:rsidR="00616328" w:rsidRDefault="00616328" w:rsidP="00616328">
                            <w:pPr>
                              <w:jc w:val="center"/>
                              <w:rPr>
                                <w:sz w:val="20"/>
                                <w:szCs w:val="20"/>
                              </w:rPr>
                            </w:pPr>
                          </w:p>
                          <w:p w14:paraId="229A4B17" w14:textId="77777777" w:rsidR="00616328" w:rsidRPr="000A0018" w:rsidRDefault="00616328" w:rsidP="00616328">
                            <w:pPr>
                              <w:jc w:val="center"/>
                              <w:rPr>
                                <w:sz w:val="20"/>
                                <w:szCs w:val="20"/>
                              </w:rPr>
                            </w:pPr>
                            <w:r w:rsidRPr="000A0018">
                              <w:rPr>
                                <w:sz w:val="20"/>
                                <w:szCs w:val="20"/>
                              </w:rPr>
                              <w:t>May 1, 2014</w:t>
                            </w:r>
                          </w:p>
                          <w:p w14:paraId="143F71CC" w14:textId="77777777" w:rsidR="00616328" w:rsidRDefault="00616328" w:rsidP="00616328">
                            <w:pPr>
                              <w:jc w:val="center"/>
                            </w:pPr>
                            <w:r w:rsidRPr="000A0018">
                              <w:rPr>
                                <w:sz w:val="20"/>
                                <w:szCs w:val="20"/>
                              </w:rPr>
                              <w:t>May 22, 2014, Rev. 1</w:t>
                            </w:r>
                          </w:p>
                          <w:p w14:paraId="60FD5AAD" w14:textId="77777777" w:rsidR="00616328" w:rsidRDefault="00616328" w:rsidP="00616328">
                            <w:pPr>
                              <w:jc w:val="center"/>
                            </w:pPr>
                          </w:p>
                          <w:p w14:paraId="728C8832" w14:textId="77777777" w:rsidR="00616328" w:rsidRDefault="00616328" w:rsidP="00616328">
                            <w:pPr>
                              <w:jc w:val="center"/>
                            </w:pPr>
                          </w:p>
                          <w:p w14:paraId="1451CED8" w14:textId="77777777" w:rsidR="00616328" w:rsidRPr="000A0018" w:rsidRDefault="00616328" w:rsidP="00616328">
                            <w:pPr>
                              <w:jc w:val="center"/>
                              <w:rPr>
                                <w:sz w:val="18"/>
                                <w:szCs w:val="18"/>
                              </w:rPr>
                            </w:pPr>
                            <w:r w:rsidRPr="000A0018">
                              <w:rPr>
                                <w:sz w:val="18"/>
                                <w:szCs w:val="18"/>
                              </w:rPr>
                              <w:t>MTAC firm name</w:t>
                            </w:r>
                          </w:p>
                          <w:p w14:paraId="2178DE81" w14:textId="77777777" w:rsidR="00616328" w:rsidRPr="000A0018" w:rsidRDefault="00616328" w:rsidP="00616328">
                            <w:pPr>
                              <w:jc w:val="center"/>
                              <w:rPr>
                                <w:sz w:val="18"/>
                                <w:szCs w:val="18"/>
                              </w:rPr>
                            </w:pPr>
                            <w:r w:rsidRPr="000A0018">
                              <w:rPr>
                                <w:sz w:val="18"/>
                                <w:szCs w:val="18"/>
                              </w:rPr>
                              <w:t>MTAC lead’s email, phone number</w:t>
                            </w:r>
                          </w:p>
                          <w:p w14:paraId="34FCD0E2" w14:textId="77777777" w:rsidR="00616328" w:rsidRPr="000A0018" w:rsidRDefault="00616328" w:rsidP="00616328">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25pt;margin-top:12.95pt;width:150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">
                <v:textbox>
                  <w:txbxContent>
                    <w:p w14:paraId="4EE04108" w14:textId="77777777" w:rsidR="00616328" w:rsidRDefault="00616328" w:rsidP="00616328">
                      <w:pPr>
                        <w:jc w:val="center"/>
                      </w:pPr>
                    </w:p>
                    <w:p w14:paraId="0C2BAED8" w14:textId="77777777" w:rsidR="00616328" w:rsidRDefault="00616328" w:rsidP="00616328">
                      <w:pPr>
                        <w:jc w:val="center"/>
                        <w:rPr>
                          <w:sz w:val="20"/>
                          <w:szCs w:val="20"/>
                        </w:rPr>
                      </w:pPr>
                    </w:p>
                    <w:p w14:paraId="4BA3F767" w14:textId="77777777" w:rsidR="00616328" w:rsidRPr="000A0018" w:rsidRDefault="00616328" w:rsidP="00166174">
                      <w:pPr>
                        <w:jc w:val="center"/>
                        <w:rPr>
                          <w:sz w:val="20"/>
                          <w:szCs w:val="20"/>
                        </w:rPr>
                      </w:pPr>
                      <w:r>
                        <w:rPr>
                          <w:sz w:val="20"/>
                          <w:szCs w:val="20"/>
                        </w:rPr>
                        <w:t xml:space="preserve">Scope, </w:t>
                      </w:r>
                      <w:r w:rsidRPr="000A0018">
                        <w:rPr>
                          <w:sz w:val="20"/>
                          <w:szCs w:val="20"/>
                        </w:rPr>
                        <w:t>Capital Cost</w:t>
                      </w:r>
                      <w:r>
                        <w:rPr>
                          <w:sz w:val="20"/>
                          <w:szCs w:val="20"/>
                        </w:rPr>
                        <w:t xml:space="preserve">, Schedule </w:t>
                      </w:r>
                      <w:r w:rsidRPr="000A0018">
                        <w:rPr>
                          <w:sz w:val="20"/>
                          <w:szCs w:val="20"/>
                        </w:rPr>
                        <w:t>Review</w:t>
                      </w:r>
                      <w:r>
                        <w:rPr>
                          <w:sz w:val="20"/>
                          <w:szCs w:val="20"/>
                        </w:rPr>
                        <w:t>s</w:t>
                      </w:r>
                    </w:p>
                    <w:p w14:paraId="6C57121E" w14:textId="77777777" w:rsidR="00616328" w:rsidRPr="000A0018" w:rsidRDefault="00616328" w:rsidP="00616328">
                      <w:pPr>
                        <w:jc w:val="center"/>
                        <w:rPr>
                          <w:sz w:val="20"/>
                          <w:szCs w:val="20"/>
                        </w:rPr>
                      </w:pPr>
                    </w:p>
                    <w:p w14:paraId="635F08B9" w14:textId="77777777" w:rsidR="00616328" w:rsidRPr="000A0018" w:rsidRDefault="00616328" w:rsidP="00616328">
                      <w:pPr>
                        <w:jc w:val="center"/>
                        <w:rPr>
                          <w:sz w:val="18"/>
                          <w:szCs w:val="18"/>
                        </w:rPr>
                      </w:pPr>
                      <w:r w:rsidRPr="000A0018">
                        <w:rPr>
                          <w:sz w:val="18"/>
                          <w:szCs w:val="18"/>
                        </w:rPr>
                        <w:t xml:space="preserve">Task Order </w:t>
                      </w:r>
                      <w:r>
                        <w:rPr>
                          <w:sz w:val="18"/>
                          <w:szCs w:val="18"/>
                        </w:rPr>
                        <w:t>5</w:t>
                      </w:r>
                    </w:p>
                    <w:p w14:paraId="4FDE9CC3" w14:textId="77777777" w:rsidR="00616328" w:rsidRDefault="00616328" w:rsidP="00616328">
                      <w:pPr>
                        <w:jc w:val="center"/>
                        <w:rPr>
                          <w:sz w:val="18"/>
                          <w:szCs w:val="18"/>
                        </w:rPr>
                      </w:pPr>
                      <w:r w:rsidRPr="000A0018">
                        <w:rPr>
                          <w:sz w:val="18"/>
                          <w:szCs w:val="18"/>
                        </w:rPr>
                        <w:t xml:space="preserve">Job Order </w:t>
                      </w:r>
                      <w:r>
                        <w:rPr>
                          <w:sz w:val="18"/>
                          <w:szCs w:val="18"/>
                        </w:rPr>
                        <w:t>2</w:t>
                      </w:r>
                    </w:p>
                    <w:p w14:paraId="2A30D2D6" w14:textId="77777777" w:rsidR="00616328" w:rsidRDefault="00616328" w:rsidP="00616328">
                      <w:pPr>
                        <w:jc w:val="center"/>
                        <w:rPr>
                          <w:sz w:val="18"/>
                          <w:szCs w:val="18"/>
                        </w:rPr>
                      </w:pPr>
                    </w:p>
                    <w:p w14:paraId="2E152818" w14:textId="77777777" w:rsidR="00616328" w:rsidRDefault="00616328" w:rsidP="00616328">
                      <w:pPr>
                        <w:jc w:val="center"/>
                        <w:rPr>
                          <w:sz w:val="20"/>
                          <w:szCs w:val="20"/>
                        </w:rPr>
                      </w:pPr>
                      <w:r>
                        <w:rPr>
                          <w:sz w:val="20"/>
                          <w:szCs w:val="20"/>
                        </w:rPr>
                        <w:t>Eleven Projects in Michigan</w:t>
                      </w:r>
                    </w:p>
                    <w:p w14:paraId="7CAFFE13" w14:textId="77777777" w:rsidR="00616328" w:rsidRPr="000A0018" w:rsidRDefault="00616328" w:rsidP="00616328">
                      <w:pPr>
                        <w:jc w:val="center"/>
                        <w:rPr>
                          <w:sz w:val="20"/>
                          <w:szCs w:val="20"/>
                        </w:rPr>
                      </w:pPr>
                      <w:r>
                        <w:rPr>
                          <w:sz w:val="20"/>
                          <w:szCs w:val="20"/>
                        </w:rPr>
                        <w:t>MO Dept. of Transportation</w:t>
                      </w:r>
                    </w:p>
                    <w:p w14:paraId="06B32B8C" w14:textId="77777777" w:rsidR="00616328" w:rsidRDefault="00616328" w:rsidP="00616328">
                      <w:pPr>
                        <w:jc w:val="center"/>
                        <w:rPr>
                          <w:sz w:val="20"/>
                          <w:szCs w:val="20"/>
                        </w:rPr>
                      </w:pPr>
                    </w:p>
                    <w:p w14:paraId="229A4B17" w14:textId="77777777" w:rsidR="00616328" w:rsidRPr="000A0018" w:rsidRDefault="00616328" w:rsidP="00616328">
                      <w:pPr>
                        <w:jc w:val="center"/>
                        <w:rPr>
                          <w:sz w:val="20"/>
                          <w:szCs w:val="20"/>
                        </w:rPr>
                      </w:pPr>
                      <w:r w:rsidRPr="000A0018">
                        <w:rPr>
                          <w:sz w:val="20"/>
                          <w:szCs w:val="20"/>
                        </w:rPr>
                        <w:t>May 1, 2014</w:t>
                      </w:r>
                    </w:p>
                    <w:p w14:paraId="143F71CC" w14:textId="77777777" w:rsidR="00616328" w:rsidRDefault="00616328" w:rsidP="00616328">
                      <w:pPr>
                        <w:jc w:val="center"/>
                      </w:pPr>
                      <w:r w:rsidRPr="000A0018">
                        <w:rPr>
                          <w:sz w:val="20"/>
                          <w:szCs w:val="20"/>
                        </w:rPr>
                        <w:t>May 22, 2014, Rev. 1</w:t>
                      </w:r>
                    </w:p>
                    <w:p w14:paraId="60FD5AAD" w14:textId="77777777" w:rsidR="00616328" w:rsidRDefault="00616328" w:rsidP="00616328">
                      <w:pPr>
                        <w:jc w:val="center"/>
                      </w:pPr>
                    </w:p>
                    <w:p w14:paraId="728C8832" w14:textId="77777777" w:rsidR="00616328" w:rsidRDefault="00616328" w:rsidP="00616328">
                      <w:pPr>
                        <w:jc w:val="center"/>
                      </w:pPr>
                    </w:p>
                    <w:p w14:paraId="1451CED8" w14:textId="77777777" w:rsidR="00616328" w:rsidRPr="000A0018" w:rsidRDefault="00616328" w:rsidP="00616328">
                      <w:pPr>
                        <w:jc w:val="center"/>
                        <w:rPr>
                          <w:sz w:val="18"/>
                          <w:szCs w:val="18"/>
                        </w:rPr>
                      </w:pPr>
                      <w:r w:rsidRPr="000A0018">
                        <w:rPr>
                          <w:sz w:val="18"/>
                          <w:szCs w:val="18"/>
                        </w:rPr>
                        <w:t>MTAC firm name</w:t>
                      </w:r>
                    </w:p>
                    <w:p w14:paraId="2178DE81" w14:textId="77777777" w:rsidR="00616328" w:rsidRPr="000A0018" w:rsidRDefault="00616328" w:rsidP="00616328">
                      <w:pPr>
                        <w:jc w:val="center"/>
                        <w:rPr>
                          <w:sz w:val="18"/>
                          <w:szCs w:val="18"/>
                        </w:rPr>
                      </w:pPr>
                      <w:r w:rsidRPr="000A0018">
                        <w:rPr>
                          <w:sz w:val="18"/>
                          <w:szCs w:val="18"/>
                        </w:rPr>
                        <w:t>MTAC lead’s email, phone number</w:t>
                      </w:r>
                    </w:p>
                    <w:p w14:paraId="34FCD0E2" w14:textId="77777777" w:rsidR="00616328" w:rsidRPr="000A0018" w:rsidRDefault="00616328" w:rsidP="00616328">
                      <w:pPr>
                        <w:jc w:val="center"/>
                        <w:rPr>
                          <w:sz w:val="18"/>
                          <w:szCs w:val="18"/>
                        </w:rPr>
                      </w:pPr>
                    </w:p>
                  </w:txbxContent>
                </v:textbox>
              </v:shape>
            </w:pict>
          </mc:Fallback>
        </mc:AlternateContent>
      </w:r>
      <w:r>
        <w:rPr>
          <w:rFonts w:asciiTheme="minorHAnsi" w:hAnsiTheme="minorHAnsi"/>
          <w:szCs w:val="22"/>
        </w:rPr>
        <w:t>MTAC Reports on Grantees’ Projects</w:t>
      </w:r>
    </w:p>
    <w:p w14:paraId="01D7D464" w14:textId="77777777" w:rsidR="00616328" w:rsidRPr="00616328" w:rsidRDefault="00616328" w:rsidP="00616328"/>
    <w:p w14:paraId="6AF81CF4" w14:textId="77777777" w:rsidR="00166174" w:rsidRDefault="00EE0E48" w:rsidP="00EE0E48">
      <w:pPr>
        <w:pStyle w:val="hsr3"/>
        <w:numPr>
          <w:ilvl w:val="0"/>
          <w:numId w:val="0"/>
        </w:numPr>
      </w:pPr>
      <w:r>
        <w:t xml:space="preserve">To support the MTAC oversight and technical assistance work, </w:t>
      </w:r>
    </w:p>
    <w:p w14:paraId="619BC395" w14:textId="77777777" w:rsidR="00166174" w:rsidRDefault="00EE0E48" w:rsidP="00EE0E48">
      <w:pPr>
        <w:pStyle w:val="hsr3"/>
        <w:numPr>
          <w:ilvl w:val="0"/>
          <w:numId w:val="0"/>
        </w:numPr>
      </w:pPr>
      <w:r>
        <w:t>reports are typically required</w:t>
      </w:r>
      <w:r w:rsidR="0091417C">
        <w:t xml:space="preserve"> </w:t>
      </w:r>
      <w:r w:rsidR="00E46048">
        <w:t>(</w:t>
      </w:r>
      <w:r w:rsidR="0091417C">
        <w:t xml:space="preserve">for </w:t>
      </w:r>
      <w:r w:rsidR="009718BC">
        <w:t>most</w:t>
      </w:r>
      <w:r w:rsidR="009718BC" w:rsidRPr="002311D2">
        <w:t xml:space="preserve"> MP</w:t>
      </w:r>
      <w:r w:rsidR="009718BC">
        <w:t>s.</w:t>
      </w:r>
      <w:r w:rsidR="0091417C">
        <w:t xml:space="preserve">)  </w:t>
      </w:r>
    </w:p>
    <w:p w14:paraId="73150FDE" w14:textId="77777777" w:rsidR="00190707" w:rsidRPr="00190707" w:rsidRDefault="00190707" w:rsidP="00190707">
      <w:pPr>
        <w:pStyle w:val="hsr4"/>
        <w:numPr>
          <w:ilvl w:val="0"/>
          <w:numId w:val="0"/>
        </w:numPr>
        <w:ind w:left="1440"/>
      </w:pPr>
    </w:p>
    <w:p w14:paraId="52EAEA52" w14:textId="2FAB21D1" w:rsidR="009718BC" w:rsidRDefault="009718BC" w:rsidP="00EE0E48">
      <w:pPr>
        <w:pStyle w:val="hsr3"/>
        <w:numPr>
          <w:ilvl w:val="0"/>
          <w:numId w:val="0"/>
        </w:numPr>
      </w:pPr>
      <w:r>
        <w:t>General guidelines for reports</w:t>
      </w:r>
      <w:r w:rsidR="0091417C">
        <w:t>:</w:t>
      </w:r>
    </w:p>
    <w:p w14:paraId="03051227" w14:textId="77777777" w:rsidR="0091417C" w:rsidRPr="0091417C" w:rsidRDefault="0091417C" w:rsidP="0091417C">
      <w:pPr>
        <w:pStyle w:val="hsr4"/>
        <w:numPr>
          <w:ilvl w:val="0"/>
          <w:numId w:val="0"/>
        </w:numPr>
        <w:ind w:left="1440"/>
      </w:pPr>
    </w:p>
    <w:p w14:paraId="533D1DF9" w14:textId="77777777" w:rsidR="00166174" w:rsidRDefault="0091417C" w:rsidP="0091417C">
      <w:pPr>
        <w:pStyle w:val="ListParagraph"/>
        <w:numPr>
          <w:ilvl w:val="0"/>
          <w:numId w:val="14"/>
        </w:numPr>
      </w:pPr>
      <w:r>
        <w:t xml:space="preserve">Content:  </w:t>
      </w:r>
      <w:r w:rsidR="009718BC">
        <w:t>Provide current information</w:t>
      </w:r>
      <w:r w:rsidR="00E46048">
        <w:t>; c</w:t>
      </w:r>
      <w:r w:rsidR="009718BC">
        <w:t xml:space="preserve">ite sources; </w:t>
      </w:r>
    </w:p>
    <w:p w14:paraId="0E92B283" w14:textId="77777777" w:rsidR="00166174" w:rsidRDefault="009718BC" w:rsidP="00166174">
      <w:pPr>
        <w:ind w:left="360"/>
      </w:pPr>
      <w:r>
        <w:t>present information without taking it out of context.</w:t>
      </w:r>
      <w:r w:rsidRPr="00E86587">
        <w:t xml:space="preserve"> </w:t>
      </w:r>
      <w:r>
        <w:t xml:space="preserve"> </w:t>
      </w:r>
    </w:p>
    <w:p w14:paraId="50B04D94" w14:textId="77777777" w:rsidR="00166174" w:rsidRDefault="009718BC" w:rsidP="00166174">
      <w:pPr>
        <w:ind w:left="360"/>
      </w:pPr>
      <w:r w:rsidRPr="00E86587">
        <w:t xml:space="preserve">Provide focused, clear, </w:t>
      </w:r>
      <w:r>
        <w:t xml:space="preserve">concise, </w:t>
      </w:r>
      <w:r w:rsidRPr="00E86587">
        <w:t>coherent, accurate, complete,</w:t>
      </w:r>
      <w:r>
        <w:t xml:space="preserve"> </w:t>
      </w:r>
    </w:p>
    <w:p w14:paraId="20132D26" w14:textId="77777777" w:rsidR="00166174" w:rsidRDefault="009718BC" w:rsidP="00166174">
      <w:pPr>
        <w:ind w:left="360"/>
      </w:pPr>
      <w:r>
        <w:t>objective and unbiased reports.</w:t>
      </w:r>
      <w:r w:rsidR="0091417C" w:rsidRPr="0091417C">
        <w:t xml:space="preserve"> </w:t>
      </w:r>
    </w:p>
    <w:p w14:paraId="431F30D0" w14:textId="77777777" w:rsidR="00166174" w:rsidRDefault="0091417C" w:rsidP="00166174">
      <w:pPr>
        <w:ind w:left="360"/>
      </w:pPr>
      <w:r w:rsidRPr="0091417C">
        <w:t xml:space="preserve">Use “MTAC” vs “contractor” to distinguish from construction </w:t>
      </w:r>
    </w:p>
    <w:p w14:paraId="0ABF595F" w14:textId="77777777" w:rsidR="00166174" w:rsidRDefault="0091417C" w:rsidP="00166174">
      <w:pPr>
        <w:ind w:left="360"/>
      </w:pPr>
      <w:r w:rsidRPr="0091417C">
        <w:t xml:space="preserve">contractors. Use photos, tables, and other graphics to aid </w:t>
      </w:r>
    </w:p>
    <w:p w14:paraId="736E09B4" w14:textId="69D4516C" w:rsidR="0091417C" w:rsidRPr="0091417C" w:rsidRDefault="0091417C" w:rsidP="00166174">
      <w:pPr>
        <w:ind w:left="360"/>
      </w:pPr>
      <w:r w:rsidRPr="0091417C">
        <w:t>understanding</w:t>
      </w:r>
    </w:p>
    <w:p w14:paraId="6B06BAE4" w14:textId="77777777" w:rsidR="0091417C" w:rsidRDefault="0091417C" w:rsidP="0091417C">
      <w:pPr>
        <w:pStyle w:val="ListParagraph"/>
        <w:ind w:left="360"/>
      </w:pPr>
    </w:p>
    <w:p w14:paraId="5FA48E2D" w14:textId="77777777" w:rsidR="00166174" w:rsidRDefault="0091417C" w:rsidP="0091417C">
      <w:pPr>
        <w:pStyle w:val="ListParagraph"/>
        <w:numPr>
          <w:ilvl w:val="0"/>
          <w:numId w:val="14"/>
        </w:numPr>
      </w:pPr>
      <w:r>
        <w:t xml:space="preserve">Style:  </w:t>
      </w:r>
      <w:r w:rsidR="009718BC">
        <w:t>R</w:t>
      </w:r>
      <w:r w:rsidR="009718BC" w:rsidRPr="00E86587">
        <w:t>efer back to original text instead of repeating text.</w:t>
      </w:r>
      <w:r>
        <w:t xml:space="preserve"> </w:t>
      </w:r>
    </w:p>
    <w:p w14:paraId="67ED20A9" w14:textId="46EF30F5" w:rsidR="0091417C" w:rsidRDefault="009718BC" w:rsidP="00166174">
      <w:pPr>
        <w:pStyle w:val="ListParagraph"/>
        <w:ind w:left="360"/>
      </w:pPr>
      <w:r>
        <w:t>Avoid long n</w:t>
      </w:r>
      <w:r w:rsidR="0091417C">
        <w:t>arratives</w:t>
      </w:r>
      <w:r w:rsidR="00E46048">
        <w:t>.</w:t>
      </w:r>
    </w:p>
    <w:p w14:paraId="7C3CBA7B" w14:textId="77777777" w:rsidR="0091417C" w:rsidRDefault="0091417C" w:rsidP="0091417C">
      <w:pPr>
        <w:pStyle w:val="ListParagraph"/>
        <w:ind w:left="360"/>
      </w:pPr>
    </w:p>
    <w:p w14:paraId="61361453" w14:textId="77777777" w:rsidR="00166174" w:rsidRDefault="0091417C" w:rsidP="0091417C">
      <w:pPr>
        <w:pStyle w:val="ListParagraph"/>
        <w:numPr>
          <w:ilvl w:val="0"/>
          <w:numId w:val="14"/>
        </w:numPr>
      </w:pPr>
      <w:r>
        <w:t xml:space="preserve">Distribution:  </w:t>
      </w:r>
      <w:r w:rsidRPr="008926E4">
        <w:t>Sen</w:t>
      </w:r>
      <w:r w:rsidR="00E46048">
        <w:t xml:space="preserve">d draft documents </w:t>
      </w:r>
      <w:r>
        <w:t xml:space="preserve">to the Federal team; </w:t>
      </w:r>
    </w:p>
    <w:p w14:paraId="60863A0A" w14:textId="77777777" w:rsidR="00166174" w:rsidRDefault="0091417C" w:rsidP="00166174">
      <w:pPr>
        <w:pStyle w:val="ListParagraph"/>
        <w:ind w:left="360"/>
      </w:pPr>
      <w:r>
        <w:t>after approval from the Federal team</w:t>
      </w:r>
      <w:r w:rsidR="00E46048">
        <w:t>, s</w:t>
      </w:r>
      <w:r>
        <w:t>hare the draft</w:t>
      </w:r>
      <w:r w:rsidR="00E46048">
        <w:t>s</w:t>
      </w:r>
      <w:r>
        <w:t xml:space="preserve"> </w:t>
      </w:r>
    </w:p>
    <w:p w14:paraId="3A1F82DA" w14:textId="77777777" w:rsidR="00166174" w:rsidRDefault="0091417C" w:rsidP="00166174">
      <w:pPr>
        <w:pStyle w:val="ListParagraph"/>
        <w:ind w:left="360"/>
      </w:pPr>
      <w:r>
        <w:t xml:space="preserve">with the Grantee for concurrence on the facts. </w:t>
      </w:r>
    </w:p>
    <w:p w14:paraId="3B6D5C44" w14:textId="3DE5DDDF" w:rsidR="0091417C" w:rsidRDefault="0091417C" w:rsidP="00166174">
      <w:pPr>
        <w:pStyle w:val="ListParagraph"/>
        <w:ind w:left="360"/>
      </w:pPr>
      <w:r>
        <w:t xml:space="preserve">Then finalize the report. </w:t>
      </w:r>
      <w:r w:rsidR="00190707">
        <w:t xml:space="preserve"> </w:t>
      </w:r>
    </w:p>
    <w:p w14:paraId="6D7966A8" w14:textId="77777777" w:rsidR="0091417C" w:rsidRDefault="0091417C" w:rsidP="0091417C">
      <w:pPr>
        <w:pStyle w:val="ListParagraph"/>
        <w:ind w:left="360"/>
      </w:pPr>
    </w:p>
    <w:p w14:paraId="201B2CB0" w14:textId="16063D4E" w:rsidR="0091417C" w:rsidRDefault="0091417C" w:rsidP="0091417C">
      <w:pPr>
        <w:pStyle w:val="ListParagraph"/>
        <w:numPr>
          <w:ilvl w:val="0"/>
          <w:numId w:val="14"/>
        </w:numPr>
      </w:pPr>
      <w:r>
        <w:t xml:space="preserve">Format:  </w:t>
      </w:r>
      <w:r w:rsidRPr="0091417C">
        <w:t xml:space="preserve">For </w:t>
      </w:r>
      <w:r>
        <w:t>a generic</w:t>
      </w:r>
      <w:r w:rsidRPr="0091417C">
        <w:t xml:space="preserve"> outline, see below</w:t>
      </w:r>
      <w:r>
        <w:t xml:space="preserve">.  </w:t>
      </w:r>
      <w:r w:rsidR="00E46048">
        <w:t>For a detailed outline, s</w:t>
      </w:r>
      <w:r>
        <w:t>ee</w:t>
      </w:r>
      <w:r w:rsidRPr="0091417C">
        <w:t xml:space="preserve"> MP 25</w:t>
      </w:r>
      <w:r w:rsidR="00E46048">
        <w:t xml:space="preserve">. </w:t>
      </w:r>
      <w:r w:rsidR="009718BC">
        <w:t>Use appendices for supporting or backup information.</w:t>
      </w:r>
      <w:r>
        <w:t xml:space="preserve"> </w:t>
      </w:r>
      <w:r w:rsidR="009718BC">
        <w:t xml:space="preserve">Use bold or underline for emphasis. </w:t>
      </w:r>
      <w:r>
        <w:t xml:space="preserve"> </w:t>
      </w:r>
      <w:r w:rsidR="009718BC">
        <w:t>Use Calibri 11 point font.</w:t>
      </w:r>
    </w:p>
    <w:p w14:paraId="622DD66C" w14:textId="77777777" w:rsidR="0091417C" w:rsidRPr="0091417C" w:rsidRDefault="0091417C" w:rsidP="0091417C">
      <w:pPr>
        <w:pStyle w:val="ListParagraph"/>
        <w:rPr>
          <w:rFonts w:cs="Times New Roman"/>
        </w:rPr>
      </w:pPr>
    </w:p>
    <w:p w14:paraId="2DB3077A" w14:textId="4D8E2BA9" w:rsidR="00F10637" w:rsidRPr="0091417C" w:rsidRDefault="00F10637" w:rsidP="0091417C">
      <w:pPr>
        <w:pStyle w:val="ListParagraph"/>
        <w:numPr>
          <w:ilvl w:val="0"/>
          <w:numId w:val="14"/>
        </w:numPr>
      </w:pPr>
      <w:r w:rsidRPr="0091417C">
        <w:rPr>
          <w:rFonts w:cs="Times New Roman"/>
        </w:rPr>
        <w:t>Report Outline</w:t>
      </w:r>
    </w:p>
    <w:p w14:paraId="02F2DCD9" w14:textId="5D38C7D4" w:rsidR="006C0644" w:rsidRDefault="006C0644" w:rsidP="0091417C">
      <w:pPr>
        <w:pStyle w:val="123List"/>
        <w:numPr>
          <w:ilvl w:val="0"/>
          <w:numId w:val="17"/>
        </w:numPr>
        <w:tabs>
          <w:tab w:val="clear" w:pos="547"/>
        </w:tabs>
        <w:ind w:left="720" w:hanging="540"/>
      </w:pPr>
      <w:r>
        <w:t>Cover page</w:t>
      </w:r>
      <w:r w:rsidR="0091417C">
        <w:t xml:space="preserve"> (use 12 point font)</w:t>
      </w:r>
    </w:p>
    <w:p w14:paraId="56BDC845" w14:textId="77EDD021" w:rsidR="0091417C" w:rsidRDefault="0091417C" w:rsidP="0091417C">
      <w:pPr>
        <w:pStyle w:val="123List"/>
        <w:numPr>
          <w:ilvl w:val="1"/>
          <w:numId w:val="17"/>
        </w:numPr>
        <w:tabs>
          <w:tab w:val="clear" w:pos="547"/>
        </w:tabs>
      </w:pPr>
      <w:r>
        <w:t>Title</w:t>
      </w:r>
      <w:r w:rsidR="00E46048">
        <w:t xml:space="preserve"> of Report</w:t>
      </w:r>
    </w:p>
    <w:p w14:paraId="49B8EA5D" w14:textId="2C97C119" w:rsidR="0091417C" w:rsidRDefault="0091417C" w:rsidP="0091417C">
      <w:pPr>
        <w:pStyle w:val="123List"/>
        <w:numPr>
          <w:ilvl w:val="1"/>
          <w:numId w:val="17"/>
        </w:numPr>
        <w:tabs>
          <w:tab w:val="clear" w:pos="547"/>
        </w:tabs>
      </w:pPr>
      <w:r>
        <w:t xml:space="preserve">Task Order No. </w:t>
      </w:r>
      <w:r w:rsidR="00E46048">
        <w:t>and Name</w:t>
      </w:r>
    </w:p>
    <w:p w14:paraId="6B48838D" w14:textId="7C358762" w:rsidR="0091417C" w:rsidRDefault="0091417C" w:rsidP="0091417C">
      <w:pPr>
        <w:pStyle w:val="123List"/>
        <w:numPr>
          <w:ilvl w:val="1"/>
          <w:numId w:val="17"/>
        </w:numPr>
        <w:tabs>
          <w:tab w:val="clear" w:pos="547"/>
        </w:tabs>
      </w:pPr>
      <w:r>
        <w:t>Job Order No.</w:t>
      </w:r>
      <w:r w:rsidR="00E46048">
        <w:t xml:space="preserve"> and Name</w:t>
      </w:r>
    </w:p>
    <w:p w14:paraId="14EEE163" w14:textId="6BA0013A" w:rsidR="0091417C" w:rsidRDefault="0091417C" w:rsidP="0091417C">
      <w:pPr>
        <w:pStyle w:val="123List"/>
        <w:numPr>
          <w:ilvl w:val="1"/>
          <w:numId w:val="17"/>
        </w:numPr>
        <w:tabs>
          <w:tab w:val="clear" w:pos="547"/>
        </w:tabs>
      </w:pPr>
      <w:r>
        <w:t>Date</w:t>
      </w:r>
      <w:r w:rsidR="00E46048">
        <w:t xml:space="preserve"> and </w:t>
      </w:r>
      <w:r>
        <w:t>Revision Date</w:t>
      </w:r>
      <w:r w:rsidR="00E46048">
        <w:t xml:space="preserve"> if necessary</w:t>
      </w:r>
    </w:p>
    <w:p w14:paraId="3C0AA23E" w14:textId="34FD63E3" w:rsidR="0091417C" w:rsidRDefault="0091417C" w:rsidP="0091417C">
      <w:pPr>
        <w:pStyle w:val="123List"/>
        <w:numPr>
          <w:ilvl w:val="1"/>
          <w:numId w:val="17"/>
        </w:numPr>
        <w:tabs>
          <w:tab w:val="clear" w:pos="547"/>
        </w:tabs>
      </w:pPr>
      <w:r>
        <w:t>MTAC Firm Name</w:t>
      </w:r>
      <w:r w:rsidR="00E46048">
        <w:t xml:space="preserve">, </w:t>
      </w:r>
      <w:r>
        <w:t>MTAC Lead’s email, phone number</w:t>
      </w:r>
    </w:p>
    <w:p w14:paraId="3FF066BE" w14:textId="27588B81" w:rsidR="00FF1439" w:rsidRDefault="00F10637" w:rsidP="0091417C">
      <w:pPr>
        <w:pStyle w:val="123List"/>
        <w:numPr>
          <w:ilvl w:val="0"/>
          <w:numId w:val="17"/>
        </w:numPr>
        <w:tabs>
          <w:tab w:val="clear" w:pos="547"/>
        </w:tabs>
        <w:ind w:left="720" w:hanging="540"/>
      </w:pPr>
      <w:r w:rsidRPr="00FF1439">
        <w:t>Executive Summary (</w:t>
      </w:r>
      <w:r w:rsidR="006C0644">
        <w:t xml:space="preserve">3 </w:t>
      </w:r>
      <w:r w:rsidRPr="00FF1439">
        <w:t>pages max)</w:t>
      </w:r>
      <w:r w:rsidR="006C0644" w:rsidRPr="006C0644">
        <w:t xml:space="preserve"> </w:t>
      </w:r>
      <w:r w:rsidR="006C0644">
        <w:t xml:space="preserve">- </w:t>
      </w:r>
      <w:r w:rsidR="006C0644" w:rsidRPr="006C0644">
        <w:t xml:space="preserve"> most important findings, professional opinions, conclusions, and recommen</w:t>
      </w:r>
      <w:r w:rsidR="006C0644">
        <w:t>dations</w:t>
      </w:r>
    </w:p>
    <w:p w14:paraId="5778D711" w14:textId="6E3E0AFF" w:rsidR="00F10637" w:rsidRDefault="00F10637" w:rsidP="0091417C">
      <w:pPr>
        <w:pStyle w:val="123List"/>
        <w:numPr>
          <w:ilvl w:val="0"/>
          <w:numId w:val="17"/>
        </w:numPr>
        <w:tabs>
          <w:tab w:val="clear" w:pos="547"/>
        </w:tabs>
        <w:ind w:left="720" w:hanging="540"/>
      </w:pPr>
      <w:r w:rsidRPr="00FF1439">
        <w:t>Table of Contents</w:t>
      </w:r>
    </w:p>
    <w:p w14:paraId="3A07B9CF" w14:textId="77777777" w:rsidR="0091417C" w:rsidRDefault="00F10637" w:rsidP="0091417C">
      <w:pPr>
        <w:pStyle w:val="123List"/>
        <w:numPr>
          <w:ilvl w:val="0"/>
          <w:numId w:val="17"/>
        </w:numPr>
        <w:tabs>
          <w:tab w:val="clear" w:pos="547"/>
        </w:tabs>
        <w:ind w:left="720" w:hanging="540"/>
      </w:pPr>
      <w:r w:rsidRPr="00FF1439">
        <w:t>Body of Report – By topic</w:t>
      </w:r>
    </w:p>
    <w:p w14:paraId="611CB03A" w14:textId="77777777" w:rsidR="0091417C" w:rsidRDefault="00FF1439" w:rsidP="0091417C">
      <w:pPr>
        <w:pStyle w:val="123List"/>
        <w:numPr>
          <w:ilvl w:val="1"/>
          <w:numId w:val="17"/>
        </w:numPr>
        <w:tabs>
          <w:tab w:val="clear" w:pos="547"/>
        </w:tabs>
      </w:pPr>
      <w:r>
        <w:t>Findings</w:t>
      </w:r>
    </w:p>
    <w:p w14:paraId="3F42E737" w14:textId="77777777" w:rsidR="0091417C" w:rsidRDefault="0091417C" w:rsidP="0091417C">
      <w:pPr>
        <w:pStyle w:val="123List"/>
        <w:numPr>
          <w:ilvl w:val="1"/>
          <w:numId w:val="17"/>
        </w:numPr>
        <w:tabs>
          <w:tab w:val="clear" w:pos="547"/>
        </w:tabs>
      </w:pPr>
      <w:r>
        <w:t>Analysis</w:t>
      </w:r>
    </w:p>
    <w:p w14:paraId="78D5D597" w14:textId="77777777" w:rsidR="0091417C" w:rsidRDefault="00E57435" w:rsidP="0091417C">
      <w:pPr>
        <w:pStyle w:val="123List"/>
        <w:numPr>
          <w:ilvl w:val="1"/>
          <w:numId w:val="17"/>
        </w:numPr>
        <w:tabs>
          <w:tab w:val="clear" w:pos="547"/>
        </w:tabs>
      </w:pPr>
      <w:r>
        <w:t>P</w:t>
      </w:r>
      <w:r w:rsidR="00F10637" w:rsidRPr="00FF1439">
        <w:t>rofessional opinions regarding sta</w:t>
      </w:r>
      <w:r w:rsidR="0091417C">
        <w:t>tus</w:t>
      </w:r>
    </w:p>
    <w:p w14:paraId="10AFD31E" w14:textId="3E6FF0C0" w:rsidR="00FF1439" w:rsidRDefault="00E57435" w:rsidP="0091417C">
      <w:pPr>
        <w:pStyle w:val="123List"/>
        <w:numPr>
          <w:ilvl w:val="1"/>
          <w:numId w:val="17"/>
        </w:numPr>
        <w:tabs>
          <w:tab w:val="clear" w:pos="547"/>
        </w:tabs>
      </w:pPr>
      <w:r>
        <w:t>R</w:t>
      </w:r>
      <w:r w:rsidR="00FF1439">
        <w:t>ecommendations for action</w:t>
      </w:r>
    </w:p>
    <w:p w14:paraId="2F3AD582" w14:textId="7C799F0D" w:rsidR="00F10637" w:rsidRPr="00FF1439" w:rsidRDefault="00F10637" w:rsidP="0091417C">
      <w:pPr>
        <w:pStyle w:val="hsr2"/>
        <w:numPr>
          <w:ilvl w:val="0"/>
          <w:numId w:val="17"/>
        </w:numPr>
        <w:tabs>
          <w:tab w:val="clear" w:pos="547"/>
        </w:tabs>
        <w:ind w:left="720" w:hanging="540"/>
      </w:pPr>
      <w:r w:rsidRPr="00FF1439">
        <w:t>Appendi</w:t>
      </w:r>
      <w:r w:rsidR="0091417C">
        <w:t>ces</w:t>
      </w:r>
    </w:p>
    <w:p w14:paraId="7F1DAB1F" w14:textId="77777777" w:rsidR="00F10637" w:rsidRPr="00FF1439" w:rsidRDefault="00F10637" w:rsidP="0091417C">
      <w:pPr>
        <w:pStyle w:val="123List"/>
        <w:numPr>
          <w:ilvl w:val="1"/>
          <w:numId w:val="17"/>
        </w:numPr>
        <w:tabs>
          <w:tab w:val="clear" w:pos="547"/>
        </w:tabs>
      </w:pPr>
      <w:r w:rsidRPr="00FF1439">
        <w:t>Acronyms used</w:t>
      </w:r>
    </w:p>
    <w:p w14:paraId="303ACEBB" w14:textId="77777777" w:rsidR="00F10637" w:rsidRPr="00FF1439" w:rsidRDefault="00F10637" w:rsidP="0091417C">
      <w:pPr>
        <w:pStyle w:val="123List"/>
        <w:numPr>
          <w:ilvl w:val="1"/>
          <w:numId w:val="17"/>
        </w:numPr>
        <w:tabs>
          <w:tab w:val="clear" w:pos="547"/>
        </w:tabs>
      </w:pPr>
      <w:r w:rsidRPr="00FF1439">
        <w:t>Supporting checklists, tables, spreadsheets, photos, etc.</w:t>
      </w:r>
    </w:p>
    <w:p w14:paraId="5B19A92F" w14:textId="3D1A64E9" w:rsidR="00F10637" w:rsidRPr="00FF1439" w:rsidRDefault="00F10637" w:rsidP="0091417C">
      <w:pPr>
        <w:pStyle w:val="123List"/>
        <w:numPr>
          <w:ilvl w:val="1"/>
          <w:numId w:val="17"/>
        </w:numPr>
        <w:tabs>
          <w:tab w:val="clear" w:pos="547"/>
        </w:tabs>
      </w:pPr>
      <w:r w:rsidRPr="00FF1439">
        <w:t>MTAC team – list personnel, qualifications for performing the review</w:t>
      </w:r>
    </w:p>
    <w:p w14:paraId="6B68828D" w14:textId="77777777" w:rsidR="00616328" w:rsidRDefault="00616328" w:rsidP="00AA720C">
      <w:pPr>
        <w:pStyle w:val="source-credit"/>
        <w:spacing w:before="0" w:beforeAutospacing="0" w:after="0" w:afterAutospacing="0"/>
        <w:rPr>
          <w:rFonts w:asciiTheme="minorHAnsi" w:hAnsiTheme="minorHAnsi"/>
          <w:sz w:val="20"/>
          <w:szCs w:val="20"/>
        </w:rPr>
      </w:pPr>
    </w:p>
    <w:p w14:paraId="236540E7" w14:textId="236ACE9D" w:rsidR="00616328" w:rsidRDefault="00616328" w:rsidP="00AA720C">
      <w:pPr>
        <w:pStyle w:val="source-credit"/>
        <w:spacing w:before="0" w:beforeAutospacing="0" w:after="0" w:afterAutospacing="0"/>
        <w:rPr>
          <w:rFonts w:asciiTheme="minorHAnsi" w:hAnsiTheme="minorHAnsi"/>
          <w:sz w:val="20"/>
          <w:szCs w:val="20"/>
        </w:rPr>
        <w:sectPr w:rsidR="00616328" w:rsidSect="002A2725">
          <w:headerReference w:type="default" r:id="rId15"/>
          <w:pgSz w:w="12240" w:h="15840"/>
          <w:pgMar w:top="1440" w:right="1440" w:bottom="1440" w:left="1440" w:header="720" w:footer="720" w:gutter="0"/>
          <w:cols w:space="720"/>
          <w:docGrid w:linePitch="360"/>
        </w:sectPr>
      </w:pPr>
    </w:p>
    <w:p w14:paraId="348305D9" w14:textId="574ED378" w:rsidR="00BE7131" w:rsidRDefault="00BE7131" w:rsidP="00BE7131">
      <w:r>
        <w:rPr>
          <w:rFonts w:ascii="Calibri" w:hAnsi="Calibri"/>
        </w:rPr>
        <w:lastRenderedPageBreak/>
        <w:t>The following are the principal, but by no means only, references to Federal regulations and guidance relating to the work performed under the MPs. The MTAC should be familiar with these.</w:t>
      </w:r>
      <w:r>
        <w:t xml:space="preserve"> </w:t>
      </w:r>
    </w:p>
    <w:p w14:paraId="2184179F" w14:textId="77777777" w:rsidR="00BE7131" w:rsidRDefault="00BE7131" w:rsidP="00BE7131"/>
    <w:p w14:paraId="12B38FDE" w14:textId="77777777" w:rsidR="00BE7131" w:rsidRPr="00BE7131" w:rsidRDefault="00BE7131" w:rsidP="00BE7131">
      <w:pPr>
        <w:pStyle w:val="Indent"/>
        <w:ind w:left="0"/>
        <w:rPr>
          <w:b/>
        </w:rPr>
      </w:pPr>
      <w:r w:rsidRPr="00BE7131">
        <w:rPr>
          <w:b/>
        </w:rPr>
        <w:t>ADA</w:t>
      </w:r>
    </w:p>
    <w:p w14:paraId="0DA2E642" w14:textId="77777777" w:rsidR="00BE7131" w:rsidRPr="003E07B7" w:rsidRDefault="00BE7131" w:rsidP="00BE7131">
      <w:pPr>
        <w:pStyle w:val="Indent"/>
        <w:ind w:left="576"/>
      </w:pPr>
      <w:r w:rsidRPr="003E07B7">
        <w:t xml:space="preserve">Final Rule for the Transportation for Individuals with Disabilities at Intercity, Commuter, and High Speed Passenger Railroad Station Platforms. The U.S. Department of Transportation issued the Final Rule on September 19, 2011 (available at </w:t>
      </w:r>
      <w:hyperlink r:id="rId16" w:history="1">
        <w:r w:rsidRPr="003E07B7">
          <w:t>http://www.gpo.gov/fdsys/pkg/FR-2011-09-19/html/2011-23576.htm</w:t>
        </w:r>
      </w:hyperlink>
      <w:r w:rsidRPr="003E07B7">
        <w:t>).</w:t>
      </w:r>
    </w:p>
    <w:p w14:paraId="3D6824B4" w14:textId="77777777" w:rsidR="00BE7131" w:rsidRPr="003E07B7" w:rsidRDefault="00BE7131" w:rsidP="00BE7131">
      <w:pPr>
        <w:pStyle w:val="Indent"/>
        <w:ind w:left="576"/>
      </w:pPr>
    </w:p>
    <w:p w14:paraId="141974D7" w14:textId="77777777" w:rsidR="00BE7131" w:rsidRPr="003E07B7" w:rsidRDefault="00BE7131" w:rsidP="00BE7131">
      <w:pPr>
        <w:pStyle w:val="Indent"/>
        <w:ind w:left="576"/>
      </w:pPr>
      <w:r w:rsidRPr="003E07B7">
        <w:t xml:space="preserve">Final Rule for the Transportation for Individuals With Disabilities; Adoption of New Accessibility Standards. The Department of Transportation issued this rule on October 30, 2006 (available at </w:t>
      </w:r>
      <w:hyperlink r:id="rId17" w:history="1">
        <w:r w:rsidRPr="003E07B7">
          <w:t>http://www.fra.dot.gov/eLib/Details/L03333</w:t>
        </w:r>
      </w:hyperlink>
      <w:r w:rsidRPr="003E07B7">
        <w:t>).  This Final Rule establishes that the Department of Transportation amended the ADA regulations to adopt, as its regulatory ADA standards, the new Americans with Disabilities Act Accessibility Guidelines (ADAAG) issued by the United States Access Board.</w:t>
      </w:r>
    </w:p>
    <w:p w14:paraId="2FA424B6" w14:textId="77777777" w:rsidR="00BE7131" w:rsidRPr="003E07B7" w:rsidRDefault="00BE7131" w:rsidP="00BE7131">
      <w:pPr>
        <w:pStyle w:val="Indent"/>
        <w:ind w:left="576"/>
      </w:pPr>
    </w:p>
    <w:p w14:paraId="5FDE16FB" w14:textId="77777777" w:rsidR="00BE7131" w:rsidRPr="003E07B7" w:rsidRDefault="00BE7131" w:rsidP="00BE7131">
      <w:pPr>
        <w:pStyle w:val="Indent"/>
        <w:ind w:left="576"/>
      </w:pPr>
      <w:r w:rsidRPr="003E07B7">
        <w:t xml:space="preserve">U.S. DOT Guidance: What Accessibility Standards Apply to Passenger Rail Cars When Specific Design Standards Are Not Provided In 49 CFR Part 38? December 2012 (available at </w:t>
      </w:r>
      <w:hyperlink r:id="rId18" w:history="1">
        <w:r w:rsidRPr="003E07B7">
          <w:rPr>
            <w:rStyle w:val="Hyperlink"/>
          </w:rPr>
          <w:t>http://www.fra.dot.gov/Page/P0175</w:t>
        </w:r>
      </w:hyperlink>
      <w:r w:rsidRPr="003E07B7">
        <w:t>).</w:t>
      </w:r>
    </w:p>
    <w:p w14:paraId="6624795E" w14:textId="77777777" w:rsidR="00BE7131" w:rsidRPr="003E07B7" w:rsidRDefault="00BE7131" w:rsidP="00BE7131">
      <w:pPr>
        <w:pStyle w:val="Indent"/>
        <w:ind w:left="576"/>
      </w:pPr>
    </w:p>
    <w:p w14:paraId="3B48DECA" w14:textId="77777777" w:rsidR="00BE7131" w:rsidRPr="003E07B7" w:rsidRDefault="00BE7131" w:rsidP="00BE7131">
      <w:pPr>
        <w:pStyle w:val="Indent"/>
        <w:ind w:left="576"/>
      </w:pPr>
      <w:r w:rsidRPr="003E07B7">
        <w:t xml:space="preserve">Questions and Answers on the 49 CFR Part 37 Revision - Transportation Services for Individuals with Disabilities (ADA) (available at </w:t>
      </w:r>
      <w:hyperlink r:id="rId19" w:history="1">
        <w:r w:rsidRPr="003E07B7">
          <w:t>http://www.fra.dot.gov/Page/P0175</w:t>
        </w:r>
      </w:hyperlink>
      <w:r w:rsidRPr="003E07B7">
        <w:t>).</w:t>
      </w:r>
    </w:p>
    <w:p w14:paraId="7597CE6F" w14:textId="77777777" w:rsidR="00BE7131" w:rsidRPr="003E07B7" w:rsidRDefault="00BE7131" w:rsidP="00BE7131">
      <w:pPr>
        <w:pStyle w:val="Indent"/>
        <w:ind w:left="576"/>
      </w:pPr>
    </w:p>
    <w:p w14:paraId="03E10687" w14:textId="77777777" w:rsidR="00BE7131" w:rsidRPr="003E07B7" w:rsidRDefault="00BE7131" w:rsidP="00BE7131">
      <w:pPr>
        <w:pStyle w:val="Indent"/>
        <w:ind w:left="576"/>
      </w:pPr>
      <w:r w:rsidRPr="003E07B7">
        <w:t>The ADA Standards for Transportation Facilities. (</w:t>
      </w:r>
      <w:hyperlink r:id="rId20" w:history="1">
        <w:r w:rsidRPr="003E07B7">
          <w:rPr>
            <w:rStyle w:val="Hyperlink"/>
          </w:rPr>
          <w:t>http://www.access-board.gov/guidelines-and-standards/transportation/facilities/ada-standards-for-transportation-facilities</w:t>
        </w:r>
      </w:hyperlink>
      <w:r w:rsidRPr="003E07B7">
        <w:t xml:space="preserve">). </w:t>
      </w:r>
    </w:p>
    <w:p w14:paraId="6AC42582" w14:textId="77777777" w:rsidR="00BE7131" w:rsidRPr="003E07B7" w:rsidRDefault="00BE7131" w:rsidP="00BE7131">
      <w:pPr>
        <w:pStyle w:val="Indent"/>
        <w:ind w:left="576"/>
      </w:pPr>
    </w:p>
    <w:p w14:paraId="3D0A8A3B" w14:textId="77777777" w:rsidR="00BE7131" w:rsidRPr="003E07B7" w:rsidRDefault="00BE7131" w:rsidP="00BE7131">
      <w:pPr>
        <w:pStyle w:val="Indent"/>
        <w:ind w:left="576"/>
        <w:rPr>
          <w:rStyle w:val="Hyperlink"/>
        </w:rPr>
      </w:pPr>
      <w:r w:rsidRPr="003E07B7">
        <w:t xml:space="preserve">36 CFR Part 1191. Americans with Disabilities Act (ADA) Guidelines for Buildings and Facilities – 36 CFR Part 1191. Available at </w:t>
      </w:r>
      <w:hyperlink r:id="rId21" w:history="1">
        <w:r w:rsidRPr="003E07B7">
          <w:rPr>
            <w:rStyle w:val="Hyperlink"/>
          </w:rPr>
          <w:t>http://www.gpo.gov/fdsys/granule/CFR-2011-title36-vol3/CFR-2011-title36-vol3-part1191/content-detail.html</w:t>
        </w:r>
      </w:hyperlink>
    </w:p>
    <w:p w14:paraId="5865DE23" w14:textId="77777777" w:rsidR="00BE7131" w:rsidRPr="003E07B7" w:rsidRDefault="00BE7131" w:rsidP="00BE7131">
      <w:pPr>
        <w:pStyle w:val="Indent"/>
        <w:ind w:left="576"/>
      </w:pPr>
    </w:p>
    <w:p w14:paraId="5C47DA3E" w14:textId="77777777" w:rsidR="00BE7131" w:rsidRPr="003E07B7" w:rsidRDefault="00BE7131" w:rsidP="00BE7131">
      <w:pPr>
        <w:ind w:left="576"/>
      </w:pPr>
      <w:r w:rsidRPr="003E07B7">
        <w:t>36 CFR Parts 1192 Subpart H -- High-Speed Rail Cars, Monorails and Systems. The Access Board provides technical guidance on ADAAG for high-speed rail cars, monorails, and systems. (</w:t>
      </w:r>
      <w:hyperlink r:id="rId22" w:history="1">
        <w:r w:rsidRPr="003E07B7">
          <w:rPr>
            <w:rStyle w:val="Hyperlink"/>
          </w:rPr>
          <w:t>http://www.access-board.gov/guidelines-and-standards/transportation/vehicles/technical-assistance-manuals-on-adaag-for-transportation-vehicles/subpart-h-high-speed-rail-cars,-monorails-and-systems</w:t>
        </w:r>
      </w:hyperlink>
      <w:r w:rsidRPr="003E07B7">
        <w:t>).</w:t>
      </w:r>
      <w:r w:rsidRPr="003E07B7">
        <w:tab/>
      </w:r>
    </w:p>
    <w:p w14:paraId="4B8C607A" w14:textId="77777777" w:rsidR="00BE7131" w:rsidRPr="003E07B7" w:rsidRDefault="00BE7131" w:rsidP="00BE7131">
      <w:pPr>
        <w:pStyle w:val="Indent"/>
        <w:ind w:left="576"/>
      </w:pPr>
    </w:p>
    <w:p w14:paraId="2D5D8560" w14:textId="77777777" w:rsidR="00BE7131" w:rsidRPr="003E07B7" w:rsidRDefault="00BE7131" w:rsidP="00BE7131">
      <w:pPr>
        <w:pStyle w:val="Indent"/>
        <w:ind w:left="576"/>
      </w:pPr>
      <w:r w:rsidRPr="003E07B7">
        <w:t xml:space="preserve">49 CFR Part 27. Nondiscrimination on the Basis of Disability in Programs or Activities Receiving Federal Financial Assistance available at </w:t>
      </w:r>
      <w:hyperlink r:id="rId23" w:history="1">
        <w:r w:rsidRPr="003E07B7">
          <w:rPr>
            <w:rStyle w:val="Hyperlink"/>
          </w:rPr>
          <w:t>http://www.gpo.gov/fdsys/pkg/CFR-2011-title49-vol1/pdf/CFR-2011-title49-vol1-part27.pdf</w:t>
        </w:r>
      </w:hyperlink>
      <w:r w:rsidRPr="003E07B7">
        <w:t xml:space="preserve">). </w:t>
      </w:r>
    </w:p>
    <w:p w14:paraId="77D279A2" w14:textId="77777777" w:rsidR="00BE7131" w:rsidRPr="003E07B7" w:rsidRDefault="00BE7131" w:rsidP="00BE7131">
      <w:pPr>
        <w:pStyle w:val="Indent"/>
        <w:ind w:left="576"/>
      </w:pPr>
    </w:p>
    <w:p w14:paraId="47213455" w14:textId="77777777" w:rsidR="00BE7131" w:rsidRPr="003E07B7" w:rsidRDefault="00BE7131" w:rsidP="00BE7131">
      <w:pPr>
        <w:pStyle w:val="Indent"/>
        <w:ind w:left="576"/>
      </w:pPr>
      <w:r w:rsidRPr="003E07B7">
        <w:t xml:space="preserve">49 CFR Part 37. Transportation Services for Individuals with Disabilities (ADA) available at </w:t>
      </w:r>
      <w:r w:rsidRPr="003E07B7">
        <w:fldChar w:fldCharType="begin"/>
      </w:r>
      <w:r w:rsidRPr="003E07B7">
        <w:instrText xml:space="preserve"> HYPERLINK "http://www.gpo.gov/fdsys/pkg/CFR-2011-title49-vol1/pdf/CFR-2011-title49-vol1-part37.pdf.</w:instrText>
      </w:r>
    </w:p>
    <w:p w14:paraId="5FE16F07" w14:textId="77777777" w:rsidR="00BE7131" w:rsidRPr="003E07B7" w:rsidRDefault="00BE7131" w:rsidP="00BE7131">
      <w:pPr>
        <w:pStyle w:val="Indent"/>
        <w:ind w:left="576"/>
        <w:rPr>
          <w:rStyle w:val="Hyperlink"/>
        </w:rPr>
      </w:pPr>
      <w:r w:rsidRPr="003E07B7">
        <w:instrText xml:space="preserve">" </w:instrText>
      </w:r>
      <w:r w:rsidRPr="003E07B7">
        <w:fldChar w:fldCharType="separate"/>
      </w:r>
      <w:r w:rsidRPr="003E07B7">
        <w:rPr>
          <w:rStyle w:val="Hyperlink"/>
        </w:rPr>
        <w:t>http://www.gpo.gov/fdsys/pkg/CFR-2011-title49-vol1/pdf/CFR-2011-title49-vol1-part37.pdf.</w:t>
      </w:r>
    </w:p>
    <w:p w14:paraId="666D4AB0" w14:textId="77777777" w:rsidR="00BE7131" w:rsidRPr="003E07B7" w:rsidRDefault="00BE7131" w:rsidP="00BE7131">
      <w:pPr>
        <w:pStyle w:val="Indent"/>
        <w:ind w:left="576"/>
      </w:pPr>
      <w:r w:rsidRPr="003E07B7">
        <w:fldChar w:fldCharType="end"/>
      </w:r>
    </w:p>
    <w:p w14:paraId="09D73867" w14:textId="77777777" w:rsidR="00BE7131" w:rsidRDefault="00BE7131" w:rsidP="00BE7131">
      <w:pPr>
        <w:pStyle w:val="Indent"/>
        <w:ind w:left="576"/>
      </w:pPr>
      <w:r w:rsidRPr="003E07B7">
        <w:t>49 CFR Part 38. Americans With Disabilities Act (ADA) Accessibility Specifications for Transportation Vehicles – Subpart H – Other Vehicles and Systems – 49 CFR Part 38 §175 – High-</w:t>
      </w:r>
      <w:r w:rsidRPr="003E07B7">
        <w:lastRenderedPageBreak/>
        <w:t xml:space="preserve">Speed Rail Cars, Monorails, and Systems available at </w:t>
      </w:r>
      <w:hyperlink r:id="rId24" w:history="1">
        <w:r w:rsidRPr="003E07B7">
          <w:rPr>
            <w:rStyle w:val="Hyperlink"/>
            <w:color w:val="auto"/>
            <w:u w:val="none"/>
          </w:rPr>
          <w:t>http://www.gpo.gov/fdsys/pkg/CFR-2011-title49-vol1/pdf/CFR-2011-title49-vol1-part38.pdf</w:t>
        </w:r>
      </w:hyperlink>
      <w:r w:rsidRPr="003D132C">
        <w:t>.</w:t>
      </w:r>
    </w:p>
    <w:p w14:paraId="4E0BE65B" w14:textId="77777777" w:rsidR="00BE7131" w:rsidRDefault="00BE7131" w:rsidP="00BE7131">
      <w:pPr>
        <w:pStyle w:val="Indent"/>
        <w:ind w:left="1296"/>
      </w:pPr>
    </w:p>
    <w:p w14:paraId="7AD69AED" w14:textId="74A15AD3" w:rsidR="00AC7344" w:rsidRDefault="00AC7344" w:rsidP="00BE7131">
      <w:pPr>
        <w:pStyle w:val="Indent"/>
        <w:ind w:left="0"/>
        <w:rPr>
          <w:b/>
        </w:rPr>
      </w:pPr>
      <w:r>
        <w:rPr>
          <w:b/>
        </w:rPr>
        <w:t>ANNUAL REVIEW</w:t>
      </w:r>
    </w:p>
    <w:p w14:paraId="432032A8" w14:textId="6FF999EB" w:rsidR="00AC7344" w:rsidRDefault="00AC7344" w:rsidP="007B7756">
      <w:pPr>
        <w:pStyle w:val="Indent"/>
        <w:ind w:left="576"/>
      </w:pPr>
      <w:r w:rsidRPr="0068378F">
        <w:t>FRA’s Office of Passenger and Freight Programs Monitoring Manual</w:t>
      </w:r>
      <w:r w:rsidR="008A0163">
        <w:t>, a</w:t>
      </w:r>
      <w:r w:rsidRPr="0068378F">
        <w:t>vailable from FRA</w:t>
      </w:r>
      <w:r w:rsidR="008A0163">
        <w:t>; t</w:t>
      </w:r>
      <w:r w:rsidRPr="0068378F">
        <w:t xml:space="preserve">his is the primary guide for the annual review. </w:t>
      </w:r>
    </w:p>
    <w:p w14:paraId="6D264430" w14:textId="77777777" w:rsidR="00AC7344" w:rsidRDefault="00AC7344" w:rsidP="00BE7131">
      <w:pPr>
        <w:pStyle w:val="Indent"/>
        <w:ind w:left="0"/>
        <w:rPr>
          <w:b/>
        </w:rPr>
      </w:pPr>
    </w:p>
    <w:p w14:paraId="0B4B9BA0" w14:textId="77777777" w:rsidR="00985F22" w:rsidRDefault="00985F22" w:rsidP="00BE7131">
      <w:pPr>
        <w:pStyle w:val="Indent"/>
        <w:ind w:left="0"/>
        <w:rPr>
          <w:b/>
        </w:rPr>
      </w:pPr>
      <w:r>
        <w:rPr>
          <w:b/>
        </w:rPr>
        <w:t>BUY AMERICA/N</w:t>
      </w:r>
    </w:p>
    <w:p w14:paraId="395D5D87" w14:textId="77777777" w:rsidR="00985F22" w:rsidRPr="00985F22" w:rsidRDefault="00985F22" w:rsidP="007B7756">
      <w:pPr>
        <w:pStyle w:val="Indent"/>
        <w:ind w:left="630"/>
      </w:pPr>
      <w:r w:rsidRPr="00985F22">
        <w:t xml:space="preserve">49 U.S.C § 24405 (a) (available at </w:t>
      </w:r>
      <w:hyperlink r:id="rId25" w:history="1">
        <w:r w:rsidRPr="00985F22">
          <w:rPr>
            <w:rStyle w:val="Hyperlink"/>
          </w:rPr>
          <w:t>http://www.gpo.gov/fdsys/pkg/USCODE-2011-title49/html/USCODE-2011-title49-subtitleV-partC-chap244-sec24405.htm</w:t>
        </w:r>
      </w:hyperlink>
      <w:r w:rsidRPr="00985F22">
        <w:t>)</w:t>
      </w:r>
    </w:p>
    <w:p w14:paraId="4DD9C4EE" w14:textId="77777777" w:rsidR="00985F22" w:rsidRPr="00985F22" w:rsidRDefault="00985F22" w:rsidP="007B7756">
      <w:pPr>
        <w:pStyle w:val="Indent"/>
        <w:ind w:left="630"/>
      </w:pPr>
    </w:p>
    <w:p w14:paraId="3664C3D7" w14:textId="77777777" w:rsidR="00985F22" w:rsidRPr="00985F22" w:rsidRDefault="00985F22" w:rsidP="007B7756">
      <w:pPr>
        <w:pStyle w:val="Indent"/>
        <w:ind w:left="630"/>
      </w:pPr>
      <w:r w:rsidRPr="00985F22">
        <w:t>4949 U.S.C § 8302 (available at</w:t>
      </w:r>
    </w:p>
    <w:p w14:paraId="52B9DFBA" w14:textId="77777777" w:rsidR="00985F22" w:rsidRPr="00985F22" w:rsidRDefault="00460D66" w:rsidP="007B7756">
      <w:pPr>
        <w:pStyle w:val="Indent"/>
        <w:ind w:left="630"/>
      </w:pPr>
      <w:hyperlink r:id="rId26" w:history="1">
        <w:r w:rsidR="00985F22" w:rsidRPr="00985F22">
          <w:rPr>
            <w:rStyle w:val="Hyperlink"/>
          </w:rPr>
          <w:t>http://uscodebeta.house.gov/view.xhtml?req=(title:%20section:8302%20edition:prelim)%20OR%20(granuleid:USC-prelim-titlesection8302)&amp;f=treesort&amp;edition=prelim&amp;num=0&amp;jumpTo=true</w:t>
        </w:r>
      </w:hyperlink>
    </w:p>
    <w:p w14:paraId="3FC8CD7E" w14:textId="77777777" w:rsidR="00985F22" w:rsidRPr="00985F22" w:rsidRDefault="00985F22" w:rsidP="007B7756">
      <w:pPr>
        <w:pStyle w:val="Indent"/>
        <w:ind w:left="630"/>
      </w:pPr>
    </w:p>
    <w:p w14:paraId="15803C55" w14:textId="77777777" w:rsidR="00985F22" w:rsidRPr="00985F22" w:rsidRDefault="00985F22" w:rsidP="007B7756">
      <w:pPr>
        <w:pStyle w:val="Indent"/>
        <w:ind w:left="630"/>
      </w:pPr>
      <w:r w:rsidRPr="00985F22">
        <w:t xml:space="preserve">FRA Buy America Guidance - including Frequently Asked Questions (available at </w:t>
      </w:r>
      <w:hyperlink r:id="rId27" w:history="1">
        <w:r w:rsidRPr="00985F22">
          <w:rPr>
            <w:rStyle w:val="Hyperlink"/>
          </w:rPr>
          <w:t>http://www.fra.dot.gov/Page/P0185</w:t>
        </w:r>
      </w:hyperlink>
    </w:p>
    <w:p w14:paraId="3CD0FE8D" w14:textId="77777777" w:rsidR="00985F22" w:rsidRDefault="00985F22" w:rsidP="00BE7131">
      <w:pPr>
        <w:pStyle w:val="Indent"/>
        <w:ind w:left="0"/>
        <w:rPr>
          <w:b/>
        </w:rPr>
      </w:pPr>
    </w:p>
    <w:p w14:paraId="1A71C00B" w14:textId="4BE6A2DF" w:rsidR="00BE7131" w:rsidRDefault="00BE7131" w:rsidP="00BE7131">
      <w:pPr>
        <w:pStyle w:val="Indent"/>
        <w:ind w:left="0"/>
        <w:rPr>
          <w:b/>
        </w:rPr>
      </w:pPr>
      <w:r>
        <w:rPr>
          <w:b/>
        </w:rPr>
        <w:t>ENV</w:t>
      </w:r>
      <w:r w:rsidR="007E3B05">
        <w:rPr>
          <w:b/>
        </w:rPr>
        <w:t>IRONMENTAL REVIEW</w:t>
      </w:r>
      <w:r>
        <w:rPr>
          <w:b/>
        </w:rPr>
        <w:t xml:space="preserve"> </w:t>
      </w:r>
    </w:p>
    <w:p w14:paraId="2FD8816A" w14:textId="1A3226BD" w:rsidR="00BE7131" w:rsidRPr="003E07B7" w:rsidRDefault="00BE7131" w:rsidP="007B7756">
      <w:pPr>
        <w:pStyle w:val="Indent"/>
        <w:ind w:left="630"/>
      </w:pPr>
      <w:r w:rsidRPr="003E07B7">
        <w:t>2010 NOFA:  Appendix 2.2  Environmental Documentation.  Federal Register Vol. 75, No. 126, Thursday, July 1, 2010. Notices USDOT, FRA, HSIPR Program; ACTION: Notice of funding availability for Individual Projects; issua</w:t>
      </w:r>
      <w:r w:rsidR="008A0163">
        <w:t xml:space="preserve">nce of interim program guidance, </w:t>
      </w:r>
      <w:r w:rsidRPr="003E07B7">
        <w:t xml:space="preserve"> </w:t>
      </w:r>
      <w:hyperlink r:id="rId28" w:history="1">
        <w:r w:rsidRPr="003E07B7">
          <w:rPr>
            <w:rStyle w:val="Hyperlink"/>
          </w:rPr>
          <w:t>http://www.fra.dot.gov/eLib/details/L03701</w:t>
        </w:r>
      </w:hyperlink>
    </w:p>
    <w:p w14:paraId="1FE9845F" w14:textId="77777777" w:rsidR="00BE7131" w:rsidRPr="003E07B7" w:rsidRDefault="00BE7131" w:rsidP="007B7756">
      <w:pPr>
        <w:pStyle w:val="Indent"/>
        <w:ind w:left="630"/>
      </w:pPr>
    </w:p>
    <w:p w14:paraId="5C87E137" w14:textId="1104EC6A" w:rsidR="00BE7131" w:rsidRPr="003E07B7" w:rsidRDefault="00BE7131" w:rsidP="007B7756">
      <w:pPr>
        <w:pStyle w:val="Indent"/>
        <w:ind w:left="630"/>
      </w:pPr>
      <w:r w:rsidRPr="003E07B7">
        <w:t>Notice of Updated Environmental Assessment Procedures.  Federal Register Vol. 64, No. 101, Wednesday, May 26, 1999.  Notices  page 28545, USDOT, FRA, ACTION; Notice of Updated Envir</w:t>
      </w:r>
      <w:r w:rsidR="008A0163">
        <w:t>onmental Assessment Procedures,</w:t>
      </w:r>
      <w:r w:rsidRPr="003E07B7">
        <w:t xml:space="preserve"> </w:t>
      </w:r>
      <w:hyperlink r:id="rId29" w:history="1">
        <w:r w:rsidRPr="003E07B7">
          <w:rPr>
            <w:rStyle w:val="Hyperlink"/>
          </w:rPr>
          <w:t>http://www.fra.dot.gov/eLib/details/L02561</w:t>
        </w:r>
      </w:hyperlink>
    </w:p>
    <w:p w14:paraId="63D7D75D" w14:textId="77777777" w:rsidR="00BE7131" w:rsidRPr="003E07B7" w:rsidRDefault="00BE7131" w:rsidP="007B7756">
      <w:pPr>
        <w:pStyle w:val="Indent"/>
        <w:ind w:left="630"/>
      </w:pPr>
    </w:p>
    <w:p w14:paraId="6A6E0990" w14:textId="381027D4" w:rsidR="00BE7131" w:rsidRDefault="00BE7131" w:rsidP="007B7756">
      <w:pPr>
        <w:pStyle w:val="Indent"/>
        <w:ind w:left="630"/>
      </w:pPr>
      <w:r w:rsidRPr="003E07B7">
        <w:t>National Environmental Policy Act (NEPA), Compliance and Enforcement, Basic Information</w:t>
      </w:r>
      <w:r w:rsidR="008A0163">
        <w:t xml:space="preserve">, </w:t>
      </w:r>
      <w:r w:rsidRPr="003E07B7">
        <w:t xml:space="preserve">available at </w:t>
      </w:r>
      <w:hyperlink r:id="rId30" w:history="1">
        <w:r w:rsidRPr="003E07B7">
          <w:rPr>
            <w:rStyle w:val="Hyperlink"/>
          </w:rPr>
          <w:t>http://www.epa.gov/compliance/basics/nepa.html</w:t>
        </w:r>
      </w:hyperlink>
    </w:p>
    <w:p w14:paraId="1DDB1790" w14:textId="77777777" w:rsidR="008A0163" w:rsidRDefault="008A0163" w:rsidP="00BE7131">
      <w:pPr>
        <w:pStyle w:val="Indent"/>
      </w:pPr>
    </w:p>
    <w:p w14:paraId="24F02EE5" w14:textId="394355BC" w:rsidR="00BE7131" w:rsidRDefault="009E76B0" w:rsidP="009E76B0">
      <w:pPr>
        <w:pStyle w:val="Indent"/>
        <w:ind w:left="0"/>
        <w:rPr>
          <w:b/>
        </w:rPr>
      </w:pPr>
      <w:r>
        <w:rPr>
          <w:b/>
        </w:rPr>
        <w:t>GRANTS</w:t>
      </w:r>
      <w:r w:rsidR="0068378F">
        <w:rPr>
          <w:b/>
        </w:rPr>
        <w:t xml:space="preserve"> and COOPERATIVE AGREEMENTS</w:t>
      </w:r>
    </w:p>
    <w:p w14:paraId="54D87330" w14:textId="405E7BCD" w:rsidR="009E76B0" w:rsidRPr="003E07B7" w:rsidRDefault="009E76B0" w:rsidP="007B7756">
      <w:pPr>
        <w:pStyle w:val="Indent"/>
        <w:ind w:left="630"/>
        <w:rPr>
          <w:rStyle w:val="Hyperlink"/>
        </w:rPr>
      </w:pPr>
      <w:r w:rsidRPr="003E07B7">
        <w:t>OMB Circular A-102, Grants and Cooperative Agreements w</w:t>
      </w:r>
      <w:r w:rsidR="008A0163">
        <w:t xml:space="preserve">ith State and Local Governments, </w:t>
      </w:r>
      <w:r w:rsidRPr="003E07B7">
        <w:t xml:space="preserve">available at </w:t>
      </w:r>
      <w:hyperlink r:id="rId31" w:history="1">
        <w:r w:rsidRPr="003E07B7">
          <w:rPr>
            <w:rStyle w:val="Hyperlink"/>
          </w:rPr>
          <w:t>http://www.whitehouse.gov/omb/circulars_a102/</w:t>
        </w:r>
      </w:hyperlink>
    </w:p>
    <w:p w14:paraId="0EC7CAB6" w14:textId="77777777" w:rsidR="009E76B0" w:rsidRDefault="009E76B0" w:rsidP="007B7756">
      <w:pPr>
        <w:pStyle w:val="Indent"/>
        <w:ind w:left="630"/>
        <w:rPr>
          <w:rStyle w:val="Hyperlink"/>
        </w:rPr>
      </w:pPr>
    </w:p>
    <w:p w14:paraId="3A7CA004" w14:textId="684FE257" w:rsidR="0068378F" w:rsidRPr="0068378F" w:rsidRDefault="0068378F" w:rsidP="007B7756">
      <w:pPr>
        <w:pStyle w:val="Indent"/>
        <w:ind w:left="630"/>
      </w:pPr>
      <w:r w:rsidRPr="0068378F">
        <w:t>49 CFR Part 18, Uniform Administrative Requirements for Grants and Cooperative Agreements to State and Local Governments</w:t>
      </w:r>
      <w:r w:rsidR="008A0163">
        <w:t xml:space="preserve">, </w:t>
      </w:r>
      <w:r w:rsidRPr="0068378F">
        <w:t xml:space="preserve">available at </w:t>
      </w:r>
      <w:hyperlink r:id="rId32" w:history="1">
        <w:r w:rsidRPr="0068378F">
          <w:rPr>
            <w:rStyle w:val="Hyperlink"/>
          </w:rPr>
          <w:t>http://www.gpo.gov/fdsys/pkg/CFR-2009-title49-vol1/xml/CFR-2009-title49-vol1-part18.xml</w:t>
        </w:r>
      </w:hyperlink>
    </w:p>
    <w:p w14:paraId="5A1380DC" w14:textId="77777777" w:rsidR="0068378F" w:rsidRPr="0068378F" w:rsidRDefault="0068378F" w:rsidP="007B7756">
      <w:pPr>
        <w:pStyle w:val="Indent"/>
        <w:ind w:left="630"/>
      </w:pPr>
    </w:p>
    <w:p w14:paraId="636FB492" w14:textId="3E7999F1" w:rsidR="0068378F" w:rsidRPr="0068378F" w:rsidRDefault="0068378F" w:rsidP="007B7756">
      <w:pPr>
        <w:pStyle w:val="Indent"/>
        <w:ind w:left="630"/>
      </w:pPr>
      <w:r w:rsidRPr="0068378F">
        <w:t>OMB Circular A-128, Audits of State and Local Governments</w:t>
      </w:r>
      <w:r w:rsidR="008A0163">
        <w:t xml:space="preserve">, </w:t>
      </w:r>
      <w:r w:rsidRPr="0068378F">
        <w:t xml:space="preserve">available at </w:t>
      </w:r>
      <w:hyperlink r:id="rId33" w:history="1">
        <w:r w:rsidRPr="0068378F">
          <w:rPr>
            <w:rStyle w:val="Hyperlink"/>
          </w:rPr>
          <w:t>http://www.whitehouse.gov/sites/default/files/omb/assets/a133/a133_revised_2007.pdf</w:t>
        </w:r>
      </w:hyperlink>
    </w:p>
    <w:p w14:paraId="0728922E" w14:textId="77777777" w:rsidR="0068378F" w:rsidRDefault="0068378F" w:rsidP="009E76B0">
      <w:pPr>
        <w:pStyle w:val="Indent"/>
        <w:ind w:left="0"/>
        <w:rPr>
          <w:rStyle w:val="Hyperlink"/>
        </w:rPr>
      </w:pPr>
    </w:p>
    <w:p w14:paraId="2BAB3C34" w14:textId="388BB67B" w:rsidR="003E07B7" w:rsidRDefault="00BE7131" w:rsidP="00BE7131">
      <w:pPr>
        <w:pStyle w:val="Indent"/>
        <w:ind w:left="0"/>
        <w:rPr>
          <w:b/>
        </w:rPr>
      </w:pPr>
      <w:r>
        <w:rPr>
          <w:b/>
        </w:rPr>
        <w:t xml:space="preserve">PLANNING </w:t>
      </w:r>
      <w:r w:rsidR="00BA6F11">
        <w:rPr>
          <w:b/>
        </w:rPr>
        <w:t>AND DESIGN</w:t>
      </w:r>
    </w:p>
    <w:p w14:paraId="3753E102" w14:textId="5A138D23" w:rsidR="00BE7131" w:rsidRPr="003E07B7" w:rsidRDefault="00BE7131" w:rsidP="007E3B05">
      <w:pPr>
        <w:pStyle w:val="Indent"/>
      </w:pPr>
      <w:r w:rsidRPr="003E07B7">
        <w:t>Railroad Corridor Transportation Plans: A Guidance Manual, July 8, 2005</w:t>
      </w:r>
      <w:r w:rsidR="008A0163">
        <w:t>,</w:t>
      </w:r>
      <w:r w:rsidRPr="003E07B7">
        <w:t xml:space="preserve"> available at </w:t>
      </w:r>
      <w:r w:rsidRPr="003E07B7">
        <w:fldChar w:fldCharType="begin"/>
      </w:r>
      <w:r w:rsidRPr="003E07B7">
        <w:instrText xml:space="preserve"> HYPERLINK "http://www.fra.dot.gov/eLib/Details/L04161</w:instrText>
      </w:r>
    </w:p>
    <w:p w14:paraId="27EBDD93" w14:textId="77777777" w:rsidR="00BE7131" w:rsidRPr="003E07B7" w:rsidRDefault="00BE7131" w:rsidP="007E3B05">
      <w:pPr>
        <w:pStyle w:val="Indent"/>
        <w:rPr>
          <w:rStyle w:val="Hyperlink"/>
        </w:rPr>
      </w:pPr>
      <w:r w:rsidRPr="003E07B7">
        <w:instrText xml:space="preserve">" </w:instrText>
      </w:r>
      <w:r w:rsidRPr="003E07B7">
        <w:fldChar w:fldCharType="separate"/>
      </w:r>
      <w:r w:rsidRPr="003E07B7">
        <w:rPr>
          <w:rStyle w:val="Hyperlink"/>
        </w:rPr>
        <w:t>http://www.fra.dot.gov/eLib/Details/L04161</w:t>
      </w:r>
    </w:p>
    <w:p w14:paraId="1EA00DB2" w14:textId="77777777" w:rsidR="00BE7131" w:rsidRDefault="00BE7131" w:rsidP="007E3B05">
      <w:pPr>
        <w:pStyle w:val="Indent"/>
      </w:pPr>
      <w:r w:rsidRPr="003E07B7">
        <w:fldChar w:fldCharType="end"/>
      </w:r>
    </w:p>
    <w:p w14:paraId="31EE6111" w14:textId="7A4F05B3" w:rsidR="00AA5822" w:rsidRDefault="00AA5822" w:rsidP="00AA5822">
      <w:pPr>
        <w:pStyle w:val="FootnoteText"/>
        <w:ind w:left="720"/>
        <w:rPr>
          <w:sz w:val="22"/>
          <w:szCs w:val="22"/>
        </w:rPr>
      </w:pPr>
      <w:r w:rsidRPr="00AA5822">
        <w:rPr>
          <w:sz w:val="22"/>
          <w:szCs w:val="22"/>
        </w:rPr>
        <w:lastRenderedPageBreak/>
        <w:t>USDOT, FRA HSIPR Program. Notice of funding availability for Service Development Programs; issuance of interim program guidance; pg. 38344, Federal Register / Vol. 75, No. 126 / Thursday, July 1, 2010 / Notices</w:t>
      </w:r>
      <w:r w:rsidR="008A0163">
        <w:rPr>
          <w:sz w:val="22"/>
          <w:szCs w:val="22"/>
        </w:rPr>
        <w:t>, available on FRA website</w:t>
      </w:r>
    </w:p>
    <w:p w14:paraId="5592C2FB" w14:textId="77777777" w:rsidR="008A0163" w:rsidRDefault="008A0163" w:rsidP="00AA5822">
      <w:pPr>
        <w:pStyle w:val="FootnoteText"/>
        <w:ind w:left="720"/>
        <w:rPr>
          <w:sz w:val="22"/>
          <w:szCs w:val="22"/>
        </w:rPr>
      </w:pPr>
    </w:p>
    <w:p w14:paraId="5326DF26" w14:textId="0B028674" w:rsidR="008A0163" w:rsidRDefault="008A0163" w:rsidP="00AA5822">
      <w:pPr>
        <w:pStyle w:val="FootnoteText"/>
        <w:ind w:left="720"/>
        <w:rPr>
          <w:rStyle w:val="Hyperlink"/>
          <w:sz w:val="22"/>
          <w:szCs w:val="22"/>
        </w:rPr>
      </w:pPr>
      <w:r w:rsidRPr="008A0163">
        <w:rPr>
          <w:sz w:val="22"/>
          <w:szCs w:val="22"/>
        </w:rPr>
        <w:t>FRA’s State Rail Plan</w:t>
      </w:r>
      <w:r>
        <w:rPr>
          <w:sz w:val="22"/>
          <w:szCs w:val="22"/>
        </w:rPr>
        <w:t xml:space="preserve">s Guidance, September 2013, </w:t>
      </w:r>
      <w:hyperlink r:id="rId34" w:history="1">
        <w:r w:rsidRPr="00934291">
          <w:rPr>
            <w:rStyle w:val="Hyperlink"/>
            <w:sz w:val="22"/>
            <w:szCs w:val="22"/>
          </w:rPr>
          <w:t>http://www.fra.dot.gov/eLib/Details/L04760</w:t>
        </w:r>
      </w:hyperlink>
    </w:p>
    <w:p w14:paraId="092E5263" w14:textId="77777777" w:rsidR="001E159A" w:rsidRDefault="001E159A" w:rsidP="00AA5822">
      <w:pPr>
        <w:pStyle w:val="FootnoteText"/>
        <w:ind w:left="720"/>
        <w:rPr>
          <w:sz w:val="22"/>
          <w:szCs w:val="22"/>
        </w:rPr>
      </w:pPr>
    </w:p>
    <w:p w14:paraId="070B49B1" w14:textId="0325FB18" w:rsidR="001E159A" w:rsidRDefault="001E159A" w:rsidP="001E159A">
      <w:pPr>
        <w:ind w:left="720"/>
        <w:rPr>
          <w:rStyle w:val="Hyperlink"/>
        </w:rPr>
      </w:pPr>
      <w:r>
        <w:t xml:space="preserve">FRA’s “Station Area Planning for High-Speed and Intercity Passenger Rail,” June 2011,  </w:t>
      </w:r>
      <w:hyperlink r:id="rId35" w:history="1">
        <w:r>
          <w:rPr>
            <w:rStyle w:val="Hyperlink"/>
          </w:rPr>
          <w:t>http://www.fra.dot.gov/eLib/Details/L03759</w:t>
        </w:r>
      </w:hyperlink>
    </w:p>
    <w:p w14:paraId="22AB9431" w14:textId="77777777" w:rsidR="006D5547" w:rsidRDefault="006D5547" w:rsidP="001E159A">
      <w:pPr>
        <w:ind w:left="720"/>
      </w:pPr>
    </w:p>
    <w:p w14:paraId="2B60D246" w14:textId="577071FE" w:rsidR="006D5547" w:rsidRDefault="006D5547" w:rsidP="001E159A">
      <w:pPr>
        <w:ind w:left="720"/>
      </w:pPr>
      <w:r>
        <w:t xml:space="preserve">Transportation Research Board.  (2003). </w:t>
      </w:r>
      <w:r>
        <w:rPr>
          <w:i/>
        </w:rPr>
        <w:t>Transit Capacity and Quality of Service Manual, 2</w:t>
      </w:r>
      <w:r w:rsidRPr="006D5547">
        <w:rPr>
          <w:i/>
          <w:vertAlign w:val="superscript"/>
        </w:rPr>
        <w:t>nd</w:t>
      </w:r>
      <w:r>
        <w:rPr>
          <w:i/>
        </w:rPr>
        <w:t xml:space="preserve"> edition.  </w:t>
      </w:r>
      <w:r>
        <w:t>TCRP Report 100.  Transportation Research Board, Washington DC, 2003.</w:t>
      </w:r>
    </w:p>
    <w:p w14:paraId="62E46732" w14:textId="77777777" w:rsidR="00BA6F11" w:rsidRDefault="00BA6F11" w:rsidP="001E159A">
      <w:pPr>
        <w:ind w:left="720"/>
      </w:pPr>
    </w:p>
    <w:p w14:paraId="254BFDD2" w14:textId="160E8EC5" w:rsidR="00BA6F11" w:rsidRDefault="00BA6F11" w:rsidP="001E159A">
      <w:pPr>
        <w:ind w:left="720"/>
      </w:pPr>
      <w:r>
        <w:t xml:space="preserve">The American Railway Engineering and Maintenance-of-Way Association (AREMA) publications, available at </w:t>
      </w:r>
      <w:hyperlink r:id="rId36" w:history="1">
        <w:r w:rsidRPr="00DE6E5B">
          <w:rPr>
            <w:rStyle w:val="Hyperlink"/>
          </w:rPr>
          <w:t>https://www.arema.org/publications/pgre/index.aspx</w:t>
        </w:r>
      </w:hyperlink>
    </w:p>
    <w:p w14:paraId="6F57D32F" w14:textId="1FC93667" w:rsidR="00BA6F11" w:rsidRDefault="00BA6F11" w:rsidP="00BA6F11">
      <w:pPr>
        <w:pStyle w:val="ListParagraph"/>
        <w:numPr>
          <w:ilvl w:val="1"/>
          <w:numId w:val="20"/>
        </w:numPr>
      </w:pPr>
      <w:r w:rsidRPr="00BA6F11">
        <w:t>Manual for Railway Engineering</w:t>
      </w:r>
    </w:p>
    <w:p w14:paraId="0538C28C" w14:textId="447C4EE7" w:rsidR="00BA6F11" w:rsidRPr="006D5547" w:rsidRDefault="00BA6F11" w:rsidP="00BA6F11">
      <w:pPr>
        <w:pStyle w:val="ListParagraph"/>
        <w:numPr>
          <w:ilvl w:val="1"/>
          <w:numId w:val="20"/>
        </w:numPr>
      </w:pPr>
      <w:r w:rsidRPr="00BA6F11">
        <w:t>Practical Guide to Railway Engineering</w:t>
      </w:r>
    </w:p>
    <w:p w14:paraId="449AA128" w14:textId="77777777" w:rsidR="008A0163" w:rsidRDefault="008A0163" w:rsidP="00AA5822">
      <w:pPr>
        <w:pStyle w:val="FootnoteText"/>
        <w:ind w:left="720"/>
        <w:rPr>
          <w:sz w:val="22"/>
          <w:szCs w:val="22"/>
        </w:rPr>
      </w:pPr>
    </w:p>
    <w:p w14:paraId="249EAE2D" w14:textId="3DC8032C" w:rsidR="00BE7131" w:rsidRDefault="00F67C67" w:rsidP="009E76B0">
      <w:pPr>
        <w:pStyle w:val="Indent"/>
        <w:ind w:left="0"/>
        <w:rPr>
          <w:b/>
        </w:rPr>
      </w:pPr>
      <w:r>
        <w:rPr>
          <w:b/>
        </w:rPr>
        <w:t>PMP</w:t>
      </w:r>
      <w:r w:rsidR="00BE7131">
        <w:rPr>
          <w:b/>
        </w:rPr>
        <w:t xml:space="preserve"> </w:t>
      </w:r>
      <w:r w:rsidR="0068378F">
        <w:rPr>
          <w:b/>
        </w:rPr>
        <w:t xml:space="preserve"> </w:t>
      </w:r>
    </w:p>
    <w:p w14:paraId="21B86C87" w14:textId="24B13BC0" w:rsidR="009E76B0" w:rsidRDefault="009E76B0" w:rsidP="00BE7131">
      <w:pPr>
        <w:pStyle w:val="Indent"/>
      </w:pPr>
      <w:r w:rsidRPr="003E07B7">
        <w:t>Project Management Oversight - 49 USC 24403</w:t>
      </w:r>
      <w:r w:rsidR="008A0163">
        <w:t>, a</w:t>
      </w:r>
      <w:r w:rsidRPr="003E07B7">
        <w:t xml:space="preserve">vailable at </w:t>
      </w:r>
      <w:hyperlink r:id="rId37" w:history="1">
        <w:r w:rsidRPr="003E07B7">
          <w:rPr>
            <w:rStyle w:val="Hyperlink"/>
          </w:rPr>
          <w:t>http://www.gpo.gov/fdsys/granule/USCODE-2011-title49/USCODE-2011-title49-subtitleV-partC-chap244-sec24403/content-detail.html</w:t>
        </w:r>
      </w:hyperlink>
    </w:p>
    <w:p w14:paraId="3B284AAA" w14:textId="77777777" w:rsidR="009E76B0" w:rsidRDefault="009E76B0" w:rsidP="009E76B0">
      <w:pPr>
        <w:pStyle w:val="Indent"/>
      </w:pPr>
    </w:p>
    <w:p w14:paraId="35FD8934" w14:textId="6D3BBA76" w:rsidR="004E4AAE" w:rsidRDefault="004E4AAE" w:rsidP="009E76B0">
      <w:pPr>
        <w:pStyle w:val="Indent"/>
        <w:ind w:left="0"/>
        <w:rPr>
          <w:b/>
        </w:rPr>
      </w:pPr>
      <w:r>
        <w:rPr>
          <w:b/>
        </w:rPr>
        <w:t>REAL ESTATE</w:t>
      </w:r>
    </w:p>
    <w:p w14:paraId="0553BAF2" w14:textId="77777777" w:rsidR="0064780F" w:rsidRDefault="0064780F" w:rsidP="009E76B0">
      <w:pPr>
        <w:pStyle w:val="Indent"/>
        <w:ind w:left="0"/>
        <w:rPr>
          <w:b/>
        </w:rPr>
      </w:pPr>
    </w:p>
    <w:p w14:paraId="276D32D6" w14:textId="09483AB4" w:rsidR="004E4AAE" w:rsidRPr="004E4AAE" w:rsidRDefault="004E4AAE" w:rsidP="004E4AAE">
      <w:pPr>
        <w:pStyle w:val="Indent"/>
      </w:pPr>
      <w:r w:rsidRPr="004E4AAE">
        <w:t>Uniform Relocation Assistance and Real Property Acquisition Policies Act of 1970 (Uniform Act)</w:t>
      </w:r>
      <w:r>
        <w:t xml:space="preserve">, </w:t>
      </w:r>
      <w:r w:rsidRPr="004E4AAE">
        <w:t xml:space="preserve">available at </w:t>
      </w:r>
      <w:hyperlink r:id="rId38" w:history="1">
        <w:r w:rsidRPr="004E4AAE">
          <w:rPr>
            <w:rStyle w:val="Hyperlink"/>
          </w:rPr>
          <w:t>http://www.fhwa.dot.gov/real_estate/practitioners/uniform_act/</w:t>
        </w:r>
      </w:hyperlink>
    </w:p>
    <w:p w14:paraId="2343F9DC" w14:textId="77777777" w:rsidR="004E4AAE" w:rsidRPr="004E4AAE" w:rsidRDefault="004E4AAE" w:rsidP="004E4AAE">
      <w:pPr>
        <w:pStyle w:val="Indent"/>
      </w:pPr>
    </w:p>
    <w:p w14:paraId="01D536A8" w14:textId="5D3EDE20" w:rsidR="004E4AAE" w:rsidRPr="004E4AAE" w:rsidRDefault="004E4AAE" w:rsidP="004E4AAE">
      <w:pPr>
        <w:pStyle w:val="Indent"/>
      </w:pPr>
      <w:r w:rsidRPr="004E4AAE">
        <w:t>Uniform Act Regulations (49 CFR Part 24)</w:t>
      </w:r>
      <w:r>
        <w:t xml:space="preserve">, </w:t>
      </w:r>
      <w:r w:rsidRPr="004E4AAE">
        <w:t xml:space="preserve">available at </w:t>
      </w:r>
      <w:hyperlink r:id="rId39" w:history="1">
        <w:r w:rsidRPr="004E4AAE">
          <w:rPr>
            <w:rStyle w:val="Hyperlink"/>
          </w:rPr>
          <w:t>http://www.fhwa.dot.gov/real_estate/practitioners/uniform_act/legs_regs/</w:t>
        </w:r>
      </w:hyperlink>
    </w:p>
    <w:p w14:paraId="5A856934" w14:textId="77777777" w:rsidR="004E4AAE" w:rsidRDefault="004E4AAE" w:rsidP="009E76B0">
      <w:pPr>
        <w:pStyle w:val="Indent"/>
        <w:ind w:left="0"/>
        <w:rPr>
          <w:b/>
        </w:rPr>
      </w:pPr>
    </w:p>
    <w:p w14:paraId="65FE73CD" w14:textId="21DA6EE3" w:rsidR="006051BC" w:rsidRDefault="006051BC" w:rsidP="009E76B0">
      <w:pPr>
        <w:pStyle w:val="Indent"/>
        <w:ind w:left="0"/>
        <w:rPr>
          <w:b/>
        </w:rPr>
      </w:pPr>
      <w:r>
        <w:rPr>
          <w:b/>
        </w:rPr>
        <w:t>SAFETY</w:t>
      </w:r>
      <w:r w:rsidR="0064780F">
        <w:rPr>
          <w:b/>
        </w:rPr>
        <w:t xml:space="preserve"> and SECURITY</w:t>
      </w:r>
    </w:p>
    <w:p w14:paraId="78378E08" w14:textId="77777777" w:rsidR="0064780F" w:rsidRDefault="0064780F" w:rsidP="009E76B0">
      <w:pPr>
        <w:pStyle w:val="Indent"/>
        <w:ind w:left="0"/>
        <w:rPr>
          <w:b/>
        </w:rPr>
      </w:pPr>
    </w:p>
    <w:p w14:paraId="498A0AF9" w14:textId="51BF96D0" w:rsidR="006051BC" w:rsidRDefault="006051BC" w:rsidP="006051BC">
      <w:pPr>
        <w:pStyle w:val="Indent"/>
      </w:pPr>
      <w:r w:rsidRPr="006051BC">
        <w:t xml:space="preserve">49 CFR Parts 213 and 238   Final Rule on Vehicle / Track Interaction Safety Standards; High-Speed and High Cant Deficiency Operations.  USDOT, FRA 49 CFR Parts 213 and 238, Federal Register / Vol. 78, No. 49 / Wednesday, March 13, 2013 / Rules and Regulations </w:t>
      </w:r>
    </w:p>
    <w:p w14:paraId="2360B695" w14:textId="77777777" w:rsidR="00B60DFF" w:rsidRDefault="00B60DFF" w:rsidP="006051BC">
      <w:pPr>
        <w:pStyle w:val="Indent"/>
      </w:pPr>
    </w:p>
    <w:p w14:paraId="365D6AFB" w14:textId="5F18E5D2" w:rsidR="00B60DFF" w:rsidRDefault="00B60DFF" w:rsidP="006051BC">
      <w:pPr>
        <w:pStyle w:val="Indent"/>
      </w:pPr>
      <w:r>
        <w:t xml:space="preserve">FRA Office of Safety Website, </w:t>
      </w:r>
      <w:hyperlink r:id="rId40" w:history="1">
        <w:r w:rsidRPr="00B92411">
          <w:rPr>
            <w:rStyle w:val="Hyperlink"/>
          </w:rPr>
          <w:t>http://www.fra.dot.gov/Page/P0010</w:t>
        </w:r>
      </w:hyperlink>
      <w:r>
        <w:t>, including references to:</w:t>
      </w:r>
    </w:p>
    <w:p w14:paraId="35961923" w14:textId="77777777" w:rsidR="00B60DFF" w:rsidRDefault="00B60DFF" w:rsidP="00B60DFF">
      <w:pPr>
        <w:pStyle w:val="ListParagraph"/>
        <w:numPr>
          <w:ilvl w:val="0"/>
          <w:numId w:val="21"/>
        </w:numPr>
      </w:pPr>
      <w:r>
        <w:t>49 CFR 213-Track Safety Standards</w:t>
      </w:r>
    </w:p>
    <w:p w14:paraId="3965A4B5" w14:textId="0E2F8C80" w:rsidR="00B60DFF" w:rsidRPr="00B60DFF" w:rsidRDefault="00B60DFF" w:rsidP="00B60DFF">
      <w:pPr>
        <w:pStyle w:val="ListParagraph"/>
        <w:numPr>
          <w:ilvl w:val="0"/>
          <w:numId w:val="21"/>
        </w:numPr>
      </w:pPr>
      <w:r>
        <w:t xml:space="preserve">49 CFR 214-Railroad Workplace Safety </w:t>
      </w:r>
      <w:r w:rsidRPr="00B60DFF">
        <w:t>(Roadway worker protection)</w:t>
      </w:r>
    </w:p>
    <w:p w14:paraId="671E05D3" w14:textId="2CD47436" w:rsidR="00B60DFF" w:rsidRPr="00B60DFF" w:rsidRDefault="00B60DFF" w:rsidP="00B60DFF">
      <w:pPr>
        <w:pStyle w:val="ListParagraph"/>
        <w:numPr>
          <w:ilvl w:val="0"/>
          <w:numId w:val="21"/>
        </w:numPr>
      </w:pPr>
      <w:r>
        <w:t>49 CFR 2</w:t>
      </w:r>
      <w:r w:rsidRPr="00B60DFF">
        <w:t>28-Hours of service railroad employees</w:t>
      </w:r>
    </w:p>
    <w:p w14:paraId="5447DC8C" w14:textId="7CB9264C" w:rsidR="00B60DFF" w:rsidRDefault="00B60DFF" w:rsidP="00B60DFF">
      <w:pPr>
        <w:pStyle w:val="ListParagraph"/>
        <w:numPr>
          <w:ilvl w:val="0"/>
          <w:numId w:val="21"/>
        </w:numPr>
      </w:pPr>
      <w:r>
        <w:t>49 CFR 233-Signal systems reporting requirements</w:t>
      </w:r>
    </w:p>
    <w:p w14:paraId="63E4CE8F" w14:textId="09DC0DAD" w:rsidR="00B60DFF" w:rsidRDefault="00B60DFF" w:rsidP="00B60DFF">
      <w:pPr>
        <w:pStyle w:val="ListParagraph"/>
        <w:numPr>
          <w:ilvl w:val="0"/>
          <w:numId w:val="21"/>
        </w:numPr>
      </w:pPr>
      <w:r>
        <w:t>49 CFR 234-Grade crossing signal system safety and State action plans</w:t>
      </w:r>
    </w:p>
    <w:p w14:paraId="5BD52CC6" w14:textId="1A09F949" w:rsidR="00B60DFF" w:rsidRDefault="00B60DFF" w:rsidP="00B60DFF">
      <w:pPr>
        <w:pStyle w:val="ListParagraph"/>
        <w:numPr>
          <w:ilvl w:val="0"/>
          <w:numId w:val="21"/>
        </w:numPr>
      </w:pPr>
      <w:r>
        <w:t>49 CFT 235-Instructions governing applications for approval of a discontinuance or material modification of a signal system or relief from the requirements of part 236</w:t>
      </w:r>
    </w:p>
    <w:p w14:paraId="1C238631" w14:textId="6392A472" w:rsidR="00B60DFF" w:rsidRDefault="00B60DFF" w:rsidP="00B60DFF">
      <w:pPr>
        <w:pStyle w:val="ListParagraph"/>
        <w:numPr>
          <w:ilvl w:val="0"/>
          <w:numId w:val="21"/>
        </w:numPr>
      </w:pPr>
      <w:r>
        <w:t>49 CFR 236-Rules, standards, and instructions governing the installation, inspection, maintenance, and repair of signal and train control systems, devices, and appliances</w:t>
      </w:r>
    </w:p>
    <w:p w14:paraId="2BB00575" w14:textId="77777777" w:rsidR="00B60DFF" w:rsidRDefault="00B60DFF" w:rsidP="00B60DFF">
      <w:pPr>
        <w:pStyle w:val="ListParagraph"/>
        <w:numPr>
          <w:ilvl w:val="0"/>
          <w:numId w:val="21"/>
        </w:numPr>
      </w:pPr>
      <w:r>
        <w:lastRenderedPageBreak/>
        <w:t>49 CFR 237-Bridge Safety Standards</w:t>
      </w:r>
    </w:p>
    <w:p w14:paraId="1ACE1A8B" w14:textId="77777777" w:rsidR="00B60DFF" w:rsidRDefault="00B60DFF" w:rsidP="00B60DFF">
      <w:pPr>
        <w:pStyle w:val="ListParagraph"/>
        <w:numPr>
          <w:ilvl w:val="0"/>
          <w:numId w:val="21"/>
        </w:numPr>
      </w:pPr>
      <w:r>
        <w:t>49 CFR 238-Passenger Equipment Safety Standards</w:t>
      </w:r>
    </w:p>
    <w:p w14:paraId="6FDD1372" w14:textId="77777777" w:rsidR="00B60DFF" w:rsidRDefault="00B60DFF" w:rsidP="00B60DFF">
      <w:pPr>
        <w:pStyle w:val="ListParagraph"/>
        <w:numPr>
          <w:ilvl w:val="0"/>
          <w:numId w:val="21"/>
        </w:numPr>
      </w:pPr>
      <w:r>
        <w:t xml:space="preserve">49 CFR </w:t>
      </w:r>
      <w:r w:rsidRPr="000E2EA4">
        <w:t>239-Passenger Train Emergency Preparedness</w:t>
      </w:r>
    </w:p>
    <w:p w14:paraId="0F3FEB29" w14:textId="77777777" w:rsidR="00B60DFF" w:rsidRDefault="00B60DFF" w:rsidP="00B60DFF">
      <w:pPr>
        <w:ind w:left="360"/>
      </w:pPr>
    </w:p>
    <w:p w14:paraId="43E4C2C9" w14:textId="6A657874" w:rsidR="00FE499B" w:rsidRDefault="00FE499B" w:rsidP="00FE499B">
      <w:pPr>
        <w:ind w:left="720"/>
        <w:rPr>
          <w:rStyle w:val="Hyperlink"/>
        </w:rPr>
      </w:pPr>
      <w:r w:rsidRPr="001E159A">
        <w:t>Amtrak Station Program and Planning Guideline</w:t>
      </w:r>
      <w:r>
        <w:t xml:space="preserve">s, safety in site planning, station and platform design -- </w:t>
      </w:r>
      <w:hyperlink r:id="rId41" w:history="1">
        <w:r w:rsidRPr="00BE3D24">
          <w:rPr>
            <w:rStyle w:val="Hyperlink"/>
          </w:rPr>
          <w:t>http://www.greatamericanstations.com/docs/amtrak-station-planning-and-program-guidelines</w:t>
        </w:r>
      </w:hyperlink>
    </w:p>
    <w:p w14:paraId="53DCBF40" w14:textId="77777777" w:rsidR="0064780F" w:rsidRDefault="0064780F" w:rsidP="00FE499B">
      <w:pPr>
        <w:ind w:left="720"/>
        <w:rPr>
          <w:rStyle w:val="Hyperlink"/>
        </w:rPr>
      </w:pPr>
    </w:p>
    <w:p w14:paraId="55004D89" w14:textId="77777777" w:rsidR="0064780F" w:rsidRDefault="0064780F" w:rsidP="0064780F">
      <w:pPr>
        <w:ind w:left="720"/>
        <w:rPr>
          <w:rStyle w:val="Hyperlink"/>
          <w:color w:val="auto"/>
          <w:u w:val="none"/>
        </w:rPr>
      </w:pPr>
      <w:r w:rsidRPr="0064780F">
        <w:rPr>
          <w:rStyle w:val="Hyperlink"/>
          <w:color w:val="auto"/>
          <w:u w:val="none"/>
        </w:rPr>
        <w:t>Amtrak Emergency Management and Corporate Security</w:t>
      </w:r>
    </w:p>
    <w:p w14:paraId="56A1CA59" w14:textId="61F2CADF" w:rsidR="0064780F" w:rsidRDefault="0064780F" w:rsidP="0064780F">
      <w:pPr>
        <w:pStyle w:val="ListParagraph"/>
        <w:numPr>
          <w:ilvl w:val="0"/>
          <w:numId w:val="21"/>
        </w:numPr>
        <w:rPr>
          <w:rStyle w:val="Hyperlink"/>
          <w:color w:val="auto"/>
          <w:u w:val="none"/>
        </w:rPr>
      </w:pPr>
      <w:r w:rsidRPr="0064780F">
        <w:rPr>
          <w:rStyle w:val="Hyperlink"/>
          <w:color w:val="auto"/>
          <w:u w:val="none"/>
        </w:rPr>
        <w:t xml:space="preserve">Design Guidance, Practices and Recommendations for:  Video Surveillance Systems, Physical Security, Intrusion Detection Systems, and Physical Access Control Systems.  2013, Rev. 4.  Obtain from Amtrak. </w:t>
      </w:r>
    </w:p>
    <w:p w14:paraId="634F0C79" w14:textId="77777777" w:rsidR="00AF2B27" w:rsidRDefault="00AF2B27" w:rsidP="00AF2B27">
      <w:pPr>
        <w:ind w:left="720"/>
        <w:rPr>
          <w:rStyle w:val="Hyperlink"/>
          <w:color w:val="auto"/>
          <w:u w:val="none"/>
        </w:rPr>
      </w:pPr>
    </w:p>
    <w:p w14:paraId="08D1FD91" w14:textId="77777777" w:rsidR="00AF2B27" w:rsidRDefault="00AF2B27" w:rsidP="00AF2B27">
      <w:pPr>
        <w:ind w:left="720"/>
        <w:rPr>
          <w:rStyle w:val="Hyperlink"/>
          <w:color w:val="auto"/>
          <w:u w:val="none"/>
        </w:rPr>
      </w:pPr>
      <w:r>
        <w:rPr>
          <w:rStyle w:val="Hyperlink"/>
          <w:color w:val="auto"/>
          <w:u w:val="none"/>
        </w:rPr>
        <w:t>NFPA 130</w:t>
      </w:r>
      <w:r w:rsidRPr="00AF2B27">
        <w:rPr>
          <w:rStyle w:val="Hyperlink"/>
          <w:color w:val="auto"/>
          <w:u w:val="none"/>
        </w:rPr>
        <w:t>: Standard for Fixed Guideway Transit and Passenger Rail Systems</w:t>
      </w:r>
    </w:p>
    <w:p w14:paraId="008E34FA" w14:textId="2E4B2E37" w:rsidR="00AF2B27" w:rsidRDefault="00460D66" w:rsidP="00AF2B27">
      <w:pPr>
        <w:pStyle w:val="ListParagraph"/>
        <w:numPr>
          <w:ilvl w:val="0"/>
          <w:numId w:val="21"/>
        </w:numPr>
        <w:rPr>
          <w:rStyle w:val="Hyperlink"/>
          <w:color w:val="auto"/>
          <w:u w:val="none"/>
        </w:rPr>
      </w:pPr>
      <w:hyperlink r:id="rId42" w:history="1">
        <w:r w:rsidR="00AF2B27" w:rsidRPr="00DE6E5B">
          <w:rPr>
            <w:rStyle w:val="Hyperlink"/>
          </w:rPr>
          <w:t>http://www.nfpa.org/codes-and-standards/document-information-pages?mode=code&amp;code=130</w:t>
        </w:r>
      </w:hyperlink>
      <w:r w:rsidR="00AF2B27" w:rsidRPr="00AF2B27">
        <w:t xml:space="preserve"> </w:t>
      </w:r>
      <w:r w:rsidR="00AF2B27">
        <w:t xml:space="preserve">  </w:t>
      </w:r>
      <w:r w:rsidR="00AF2B27" w:rsidRPr="00AF2B27">
        <w:rPr>
          <w:rStyle w:val="Hyperlink"/>
          <w:color w:val="auto"/>
          <w:u w:val="none"/>
        </w:rPr>
        <w:t>Topics covered include stations, trainways, emergency ventilation systems, vehicles, emergency procedures, communications, control systems, and vehicle storage areas. Provisions pertain to stations accommodating only passengers and employees of the fixed guideway transit and passenger rail systems and incidental occupancies in the stations.</w:t>
      </w:r>
    </w:p>
    <w:p w14:paraId="0FD207D3" w14:textId="77777777" w:rsidR="006D5547" w:rsidRDefault="006D5547" w:rsidP="006D5547">
      <w:pPr>
        <w:rPr>
          <w:rStyle w:val="Hyperlink"/>
          <w:color w:val="auto"/>
          <w:u w:val="none"/>
        </w:rPr>
      </w:pPr>
    </w:p>
    <w:p w14:paraId="05401C9A" w14:textId="3B1FA40E" w:rsidR="006D5547" w:rsidRPr="006D5547" w:rsidRDefault="006D5547" w:rsidP="006D5547">
      <w:pPr>
        <w:ind w:left="720"/>
        <w:rPr>
          <w:rStyle w:val="Hyperlink"/>
          <w:color w:val="auto"/>
          <w:u w:val="none"/>
        </w:rPr>
      </w:pPr>
      <w:r>
        <w:rPr>
          <w:rStyle w:val="Hyperlink"/>
          <w:color w:val="auto"/>
          <w:u w:val="none"/>
        </w:rPr>
        <w:t xml:space="preserve">Schachenmayr, M.P. </w:t>
      </w:r>
      <w:r>
        <w:rPr>
          <w:rStyle w:val="Hyperlink"/>
          <w:i/>
          <w:color w:val="auto"/>
          <w:u w:val="none"/>
        </w:rPr>
        <w:t xml:space="preserve">Application Guidelines for the Egress Element of the Fire Protection Standard for Fixed Guideway Transit Systems. </w:t>
      </w:r>
      <w:r>
        <w:rPr>
          <w:rStyle w:val="Hyperlink"/>
          <w:color w:val="auto"/>
          <w:u w:val="none"/>
        </w:rPr>
        <w:t xml:space="preserve"> Parsons, Brinckerhoff, Quade &amp; Douglas, 1998.</w:t>
      </w:r>
    </w:p>
    <w:p w14:paraId="4F143349" w14:textId="77777777" w:rsidR="0064780F" w:rsidRDefault="0064780F" w:rsidP="001E159A">
      <w:pPr>
        <w:pStyle w:val="Indent"/>
        <w:ind w:left="0"/>
        <w:rPr>
          <w:b/>
        </w:rPr>
      </w:pPr>
    </w:p>
    <w:p w14:paraId="76BDEA3C" w14:textId="07027480" w:rsidR="001E159A" w:rsidRDefault="001E159A" w:rsidP="001E159A">
      <w:pPr>
        <w:pStyle w:val="Indent"/>
        <w:ind w:left="0"/>
        <w:rPr>
          <w:b/>
        </w:rPr>
      </w:pPr>
      <w:r>
        <w:rPr>
          <w:b/>
        </w:rPr>
        <w:t xml:space="preserve">STATIONS </w:t>
      </w:r>
      <w:bookmarkStart w:id="0" w:name="_GoBack"/>
      <w:bookmarkEnd w:id="0"/>
    </w:p>
    <w:p w14:paraId="043BFC64" w14:textId="4EEA8F87" w:rsidR="001E159A" w:rsidRDefault="001E159A" w:rsidP="001E159A">
      <w:pPr>
        <w:pStyle w:val="Indent"/>
      </w:pPr>
      <w:r>
        <w:t xml:space="preserve">FRA’s “Station Area Planning for High-Speed and Intercity Passenger Rail,” June 2011,  </w:t>
      </w:r>
      <w:hyperlink r:id="rId43" w:history="1">
        <w:r>
          <w:rPr>
            <w:rStyle w:val="Hyperlink"/>
          </w:rPr>
          <w:t>http://www.fra.dot.gov/eLib/Details/L03759</w:t>
        </w:r>
      </w:hyperlink>
    </w:p>
    <w:p w14:paraId="17911692" w14:textId="77777777" w:rsidR="001E159A" w:rsidRDefault="001E159A" w:rsidP="001E159A">
      <w:pPr>
        <w:pStyle w:val="Indent"/>
        <w:rPr>
          <w:b/>
        </w:rPr>
      </w:pPr>
    </w:p>
    <w:p w14:paraId="341BA16D" w14:textId="31D236FB" w:rsidR="001E159A" w:rsidRDefault="001E159A" w:rsidP="001E159A">
      <w:pPr>
        <w:pStyle w:val="Indent"/>
        <w:rPr>
          <w:rStyle w:val="Hyperlink"/>
        </w:rPr>
      </w:pPr>
      <w:r w:rsidRPr="001E159A">
        <w:t>Amtrak Station Program and Planning Guideline</w:t>
      </w:r>
      <w:r>
        <w:t xml:space="preserve">s, </w:t>
      </w:r>
      <w:hyperlink r:id="rId44" w:history="1">
        <w:r w:rsidRPr="00E76E42">
          <w:rPr>
            <w:rStyle w:val="Hyperlink"/>
          </w:rPr>
          <w:t>http://www.greatamericanstations.com/planning-development/station-planning-guidelines</w:t>
        </w:r>
      </w:hyperlink>
    </w:p>
    <w:p w14:paraId="59AF6DF2" w14:textId="77777777" w:rsidR="006D5547" w:rsidRDefault="006D5547" w:rsidP="001E159A">
      <w:pPr>
        <w:pStyle w:val="Indent"/>
        <w:rPr>
          <w:rStyle w:val="Hyperlink"/>
        </w:rPr>
      </w:pPr>
    </w:p>
    <w:p w14:paraId="3A19CF1B" w14:textId="6C696744" w:rsidR="006D5547" w:rsidRPr="006D5547" w:rsidRDefault="006D5547" w:rsidP="001E159A">
      <w:pPr>
        <w:pStyle w:val="Indent"/>
      </w:pPr>
      <w:r w:rsidRPr="006D5547">
        <w:rPr>
          <w:rStyle w:val="Hyperlink"/>
          <w:color w:val="auto"/>
          <w:u w:val="none"/>
        </w:rPr>
        <w:t xml:space="preserve">Fruin, J. J. </w:t>
      </w:r>
      <w:r>
        <w:rPr>
          <w:rStyle w:val="Hyperlink"/>
          <w:i/>
          <w:color w:val="auto"/>
          <w:u w:val="none"/>
        </w:rPr>
        <w:t>Pedestrian Planning and Design, Revised Edition.</w:t>
      </w:r>
      <w:r>
        <w:rPr>
          <w:rStyle w:val="Hyperlink"/>
          <w:color w:val="auto"/>
          <w:u w:val="none"/>
        </w:rPr>
        <w:t xml:space="preserve">  Elevator World, Inc., Mobile, Alabama, 1987.</w:t>
      </w:r>
    </w:p>
    <w:p w14:paraId="6ECFE9AB" w14:textId="77777777" w:rsidR="001E159A" w:rsidRDefault="001E159A" w:rsidP="009E76B0">
      <w:pPr>
        <w:pStyle w:val="Indent"/>
        <w:ind w:left="0"/>
        <w:rPr>
          <w:b/>
        </w:rPr>
      </w:pPr>
    </w:p>
    <w:p w14:paraId="3DCC2CF7" w14:textId="77777777" w:rsidR="00BE7131" w:rsidRDefault="009E76B0" w:rsidP="009E76B0">
      <w:pPr>
        <w:pStyle w:val="Indent"/>
        <w:ind w:left="0"/>
        <w:rPr>
          <w:b/>
        </w:rPr>
      </w:pPr>
      <w:r>
        <w:rPr>
          <w:b/>
        </w:rPr>
        <w:t>V</w:t>
      </w:r>
      <w:r w:rsidR="00BE7131">
        <w:rPr>
          <w:b/>
        </w:rPr>
        <w:t>ALUE ENGINEERING</w:t>
      </w:r>
    </w:p>
    <w:p w14:paraId="1ED174EC" w14:textId="46D5BAE4" w:rsidR="00872990" w:rsidRDefault="00872990" w:rsidP="00BE7131">
      <w:pPr>
        <w:pStyle w:val="Indent"/>
      </w:pPr>
      <w:r w:rsidRPr="003E07B7">
        <w:t xml:space="preserve">Value Methodology Standard and Body of Knowledge, June 2007 (or the latest edition) </w:t>
      </w:r>
      <w:r w:rsidR="008A0163">
        <w:t xml:space="preserve">published by SAVE International, </w:t>
      </w:r>
      <w:hyperlink r:id="rId45" w:history="1">
        <w:r w:rsidRPr="003E07B7">
          <w:t>http://www.value-eng.org/pdf_docs/monographs/vmstd.pdf</w:t>
        </w:r>
      </w:hyperlink>
    </w:p>
    <w:p w14:paraId="702A50BD" w14:textId="77777777" w:rsidR="00074272" w:rsidRPr="003E07B7" w:rsidRDefault="00074272" w:rsidP="00872990">
      <w:pPr>
        <w:pStyle w:val="Indent"/>
        <w:ind w:left="540"/>
      </w:pPr>
    </w:p>
    <w:p w14:paraId="440A9B0F" w14:textId="299E7F8A" w:rsidR="0052393B" w:rsidRDefault="00175070" w:rsidP="00175070">
      <w:pPr>
        <w:pStyle w:val="Indent"/>
        <w:ind w:left="0"/>
        <w:rPr>
          <w:b/>
        </w:rPr>
      </w:pPr>
      <w:r>
        <w:rPr>
          <w:b/>
        </w:rPr>
        <w:t>VEHICLES</w:t>
      </w:r>
    </w:p>
    <w:p w14:paraId="669E6813" w14:textId="1FE00A58" w:rsidR="00B81C20" w:rsidRPr="003E07B7" w:rsidRDefault="0052393B" w:rsidP="00B81C20">
      <w:pPr>
        <w:pStyle w:val="Indent"/>
        <w:ind w:left="576"/>
      </w:pPr>
      <w:r w:rsidRPr="003E07B7">
        <w:t>305 Committee Railcar Specifications</w:t>
      </w:r>
      <w:r w:rsidR="008A0163">
        <w:t xml:space="preserve">, </w:t>
      </w:r>
      <w:hyperlink r:id="rId46" w:history="1">
        <w:r w:rsidRPr="003E07B7">
          <w:rPr>
            <w:rStyle w:val="Hyperlink"/>
          </w:rPr>
          <w:t>http://www.highspeed-rail.org/Pages/DocsSpecs.aspx</w:t>
        </w:r>
      </w:hyperlink>
      <w:r w:rsidR="008A0163">
        <w:t xml:space="preserve">, </w:t>
      </w:r>
      <w:r w:rsidR="00B81C20" w:rsidRPr="003E07B7">
        <w:t>Passenger Rail Investment and Improvement Act of 2008 (PRIIA</w:t>
      </w:r>
      <w:r w:rsidR="008A0163">
        <w:t xml:space="preserve">) 305 Next-Generation Equipment </w:t>
      </w:r>
      <w:r w:rsidR="00B81C20" w:rsidRPr="003E07B7">
        <w:t>Committee (NGEC)</w:t>
      </w:r>
    </w:p>
    <w:p w14:paraId="660B9E8E" w14:textId="77777777" w:rsidR="00B81C20" w:rsidRPr="003E07B7" w:rsidRDefault="00B81C20" w:rsidP="00B81C20">
      <w:pPr>
        <w:pStyle w:val="Indent"/>
        <w:rPr>
          <w:color w:val="0033CC"/>
          <w:sz w:val="20"/>
          <w:szCs w:val="20"/>
        </w:rPr>
      </w:pPr>
    </w:p>
    <w:p w14:paraId="6CD3A200" w14:textId="6B07D4D8" w:rsidR="00E2677E" w:rsidRDefault="00E2677E" w:rsidP="00B81C20">
      <w:pPr>
        <w:pStyle w:val="Indent"/>
        <w:ind w:left="576"/>
      </w:pPr>
      <w:r>
        <w:t>APTA Standards and Recommended Practices relevant to railcar design</w:t>
      </w:r>
    </w:p>
    <w:p w14:paraId="0DFAD69C" w14:textId="77777777" w:rsidR="00E2677E" w:rsidRDefault="00E2677E" w:rsidP="00B81C20">
      <w:pPr>
        <w:pStyle w:val="Indent"/>
        <w:ind w:left="576"/>
      </w:pPr>
    </w:p>
    <w:p w14:paraId="4F7E1F1B" w14:textId="4A3AD955" w:rsidR="002A2725" w:rsidRPr="00CA7146" w:rsidRDefault="00E2677E" w:rsidP="004831A9">
      <w:pPr>
        <w:pStyle w:val="Indent"/>
        <w:ind w:left="576"/>
      </w:pPr>
      <w:r>
        <w:t>Federal Safety Regulatory requirements (49 CFR Part 229, 238, 239) as applicable</w:t>
      </w:r>
      <w:r w:rsidR="00F57599">
        <w:tab/>
      </w:r>
    </w:p>
    <w:sectPr w:rsidR="002A2725" w:rsidRPr="00CA7146" w:rsidSect="002A2725">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847FE" w14:textId="77777777" w:rsidR="00A43036" w:rsidRDefault="00A43036" w:rsidP="00F75A79">
      <w:r>
        <w:separator/>
      </w:r>
    </w:p>
  </w:endnote>
  <w:endnote w:type="continuationSeparator" w:id="0">
    <w:p w14:paraId="4151061B" w14:textId="77777777" w:rsidR="00A43036" w:rsidRDefault="00A43036"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 Ionic">
    <w:altName w:val="M Ionic"/>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F5122" w14:textId="77777777" w:rsidR="00A43036" w:rsidRDefault="00A43036" w:rsidP="00DA1F10">
    <w:pPr>
      <w:pStyle w:val="Footer"/>
    </w:pPr>
  </w:p>
  <w:p w14:paraId="4555F630" w14:textId="77777777" w:rsidR="00A43036" w:rsidRDefault="00A43036" w:rsidP="00A344D7">
    <w:pPr>
      <w:pStyle w:val="Footer"/>
    </w:pPr>
    <w:r>
      <w:t>MP 01 –MTAC Administrative Conditions and Requirements</w:t>
    </w:r>
  </w:p>
  <w:p w14:paraId="36987CB6" w14:textId="70AFD945" w:rsidR="00A43036" w:rsidRDefault="00A43036" w:rsidP="00DA1F10">
    <w:pPr>
      <w:pStyle w:val="Footer"/>
    </w:pPr>
    <w:r>
      <w:t>For FRA Internal Use Only, Draft, August 2014</w:t>
    </w:r>
  </w:p>
  <w:p w14:paraId="12F52E22" w14:textId="77777777" w:rsidR="00A43036" w:rsidRDefault="00A43036" w:rsidP="00DA1F10">
    <w:pPr>
      <w:pStyle w:val="Footer"/>
    </w:pPr>
    <w:r>
      <w:t xml:space="preserve">Page </w:t>
    </w:r>
    <w:r>
      <w:rPr>
        <w:sz w:val="24"/>
        <w:szCs w:val="24"/>
      </w:rPr>
      <w:fldChar w:fldCharType="begin"/>
    </w:r>
    <w:r>
      <w:instrText xml:space="preserve"> PAGE </w:instrText>
    </w:r>
    <w:r>
      <w:rPr>
        <w:sz w:val="24"/>
        <w:szCs w:val="24"/>
      </w:rPr>
      <w:fldChar w:fldCharType="separate"/>
    </w:r>
    <w:r w:rsidR="00460D66">
      <w:rPr>
        <w:noProof/>
      </w:rPr>
      <w:t>6</w:t>
    </w:r>
    <w:r>
      <w:rPr>
        <w:sz w:val="24"/>
        <w:szCs w:val="24"/>
      </w:rPr>
      <w:fldChar w:fldCharType="end"/>
    </w:r>
    <w:sdt>
      <w:sdtPr>
        <w:id w:val="2113776243"/>
        <w:docPartObj>
          <w:docPartGallery w:val="Page Numbers (Bottom of Page)"/>
          <w:docPartUnique/>
        </w:docPartObj>
      </w:sdtPr>
      <w:sdtEndPr/>
      <w:sdtContent>
        <w:sdt>
          <w:sdtPr>
            <w:id w:val="1829636627"/>
            <w:docPartObj>
              <w:docPartGallery w:val="Page Numbers (Top of Page)"/>
              <w:docPartUnique/>
            </w:docPartObj>
          </w:sdtPr>
          <w:sdtEndPr/>
          <w:sdtContent>
            <w:r>
              <w:t xml:space="preserve"> of </w:t>
            </w:r>
            <w:r w:rsidR="00460D66">
              <w:fldChar w:fldCharType="begin"/>
            </w:r>
            <w:r w:rsidR="00460D66">
              <w:instrText xml:space="preserve"> NUMPAGES  </w:instrText>
            </w:r>
            <w:r w:rsidR="00460D66">
              <w:fldChar w:fldCharType="separate"/>
            </w:r>
            <w:r w:rsidR="00460D66">
              <w:rPr>
                <w:noProof/>
              </w:rPr>
              <w:t>10</w:t>
            </w:r>
            <w:r w:rsidR="00460D66">
              <w:rPr>
                <w:noProof/>
              </w:rPr>
              <w:fldChar w:fldCharType="end"/>
            </w:r>
          </w:sdtContent>
        </w:sdt>
      </w:sdtContent>
    </w:sdt>
  </w:p>
  <w:p w14:paraId="62F783EC" w14:textId="77777777" w:rsidR="00A43036" w:rsidRPr="00F75A79" w:rsidRDefault="00A43036"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8CC36" w14:textId="77777777" w:rsidR="00A43036" w:rsidRDefault="00A43036" w:rsidP="00F75A79">
      <w:r>
        <w:separator/>
      </w:r>
    </w:p>
  </w:footnote>
  <w:footnote w:type="continuationSeparator" w:id="0">
    <w:p w14:paraId="4AD2CFB3" w14:textId="77777777" w:rsidR="00A43036" w:rsidRDefault="00A43036" w:rsidP="00F75A79">
      <w:r>
        <w:continuationSeparator/>
      </w:r>
    </w:p>
  </w:footnote>
  <w:footnote w:id="1">
    <w:p w14:paraId="02E80097" w14:textId="6FD1FB13" w:rsidR="00A43036" w:rsidRDefault="00A43036">
      <w:pPr>
        <w:pStyle w:val="FootnoteText"/>
      </w:pPr>
      <w:r>
        <w:rPr>
          <w:rStyle w:val="FootnoteReference"/>
        </w:rPr>
        <w:footnoteRef/>
      </w:r>
      <w:r>
        <w:t xml:space="preserve"> See References in Appendices below.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E9F0" w14:textId="6F6648C5" w:rsidR="00616328" w:rsidRDefault="00616328" w:rsidP="00694A05">
    <w:pPr>
      <w:pStyle w:val="Header"/>
    </w:pPr>
    <w:r>
      <w:t>APPENDIX A     MTAC Reports on Grantees’ Projects</w:t>
    </w:r>
  </w:p>
  <w:p w14:paraId="4EDD0085" w14:textId="21554626" w:rsidR="00616328" w:rsidRDefault="00616328" w:rsidP="00694A05">
    <w:pPr>
      <w:pStyle w:val="Header"/>
    </w:pPr>
    <w:r>
      <w:t>__________________________________________________________________________________</w:t>
    </w:r>
  </w:p>
  <w:p w14:paraId="0F69DA97" w14:textId="77777777" w:rsidR="00616328" w:rsidRPr="00DA0731" w:rsidRDefault="00616328" w:rsidP="00DA07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D3318" w14:textId="72C358C0" w:rsidR="00A43036" w:rsidRDefault="00A43036" w:rsidP="00694A05">
    <w:pPr>
      <w:pStyle w:val="Header"/>
    </w:pPr>
    <w:r>
      <w:t xml:space="preserve">APPENDIX </w:t>
    </w:r>
    <w:r w:rsidR="00616328">
      <w:t>B     References</w:t>
    </w:r>
  </w:p>
  <w:p w14:paraId="359E07DF" w14:textId="77777777" w:rsidR="00A43036" w:rsidRDefault="00A43036" w:rsidP="00694A05">
    <w:pPr>
      <w:pStyle w:val="Header"/>
    </w:pPr>
    <w:r>
      <w:t>__________________________________________________________________________________</w:t>
    </w:r>
  </w:p>
  <w:p w14:paraId="0AA0BBEC" w14:textId="77777777" w:rsidR="00A43036" w:rsidRPr="00DA0731" w:rsidRDefault="00A43036" w:rsidP="00DA0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2484" w:hanging="360"/>
      </w:pPr>
      <w:rPr>
        <w:rFonts w:ascii="Courier New" w:hAnsi="Courier New" w:cs="Courier New" w:hint="default"/>
        <w:w w:val="131"/>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
    <w:nsid w:val="05CF1537"/>
    <w:multiLevelType w:val="hybridMultilevel"/>
    <w:tmpl w:val="4B16E106"/>
    <w:lvl w:ilvl="0" w:tplc="04A0D72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66AD5"/>
    <w:multiLevelType w:val="hybridMultilevel"/>
    <w:tmpl w:val="3C96BAD8"/>
    <w:lvl w:ilvl="0" w:tplc="5FEA2D0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795232"/>
    <w:multiLevelType w:val="hybridMultilevel"/>
    <w:tmpl w:val="1DC47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37645"/>
    <w:multiLevelType w:val="hybridMultilevel"/>
    <w:tmpl w:val="219A8148"/>
    <w:lvl w:ilvl="0" w:tplc="8544ED0C">
      <w:start w:val="1"/>
      <w:numFmt w:val="bullet"/>
      <w:lvlText w:val=""/>
      <w:lvlJc w:val="left"/>
      <w:pPr>
        <w:tabs>
          <w:tab w:val="num" w:pos="2520"/>
        </w:tabs>
        <w:ind w:left="2520" w:hanging="360"/>
      </w:pPr>
      <w:rPr>
        <w:rFonts w:ascii="Wingdings" w:hAnsi="Wingdings" w:hint="default"/>
        <w:b w:val="0"/>
        <w:i w:val="0"/>
        <w:sz w:val="22"/>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7">
    <w:nsid w:val="132C2AEB"/>
    <w:multiLevelType w:val="hybridMultilevel"/>
    <w:tmpl w:val="C764D1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251B36"/>
    <w:multiLevelType w:val="hybridMultilevel"/>
    <w:tmpl w:val="52B66B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F3F6B70"/>
    <w:multiLevelType w:val="multilevel"/>
    <w:tmpl w:val="9B8CB3D4"/>
    <w:styleLink w:val="HSRLists"/>
    <w:lvl w:ilvl="0">
      <w:start w:val="1"/>
      <w:numFmt w:val="decimal"/>
      <w:pStyle w:val="hsr1"/>
      <w:lvlText w:val="%1."/>
      <w:lvlJc w:val="left"/>
      <w:pPr>
        <w:ind w:left="360" w:hanging="360"/>
      </w:pPr>
      <w:rPr>
        <w:rFonts w:hint="default"/>
      </w:rPr>
    </w:lvl>
    <w:lvl w:ilvl="1">
      <w:start w:val="1"/>
      <w:numFmt w:val="lowerLetter"/>
      <w:pStyle w:val="hsr2"/>
      <w:lvlText w:val="%2."/>
      <w:lvlJc w:val="left"/>
      <w:pPr>
        <w:ind w:left="720" w:hanging="360"/>
      </w:pPr>
      <w:rPr>
        <w:rFonts w:hint="default"/>
      </w:rPr>
    </w:lvl>
    <w:lvl w:ilvl="2">
      <w:start w:val="1"/>
      <w:numFmt w:val="lowerRoman"/>
      <w:pStyle w:val="hsr3"/>
      <w:lvlText w:val="%3."/>
      <w:lvlJc w:val="right"/>
      <w:pPr>
        <w:ind w:left="1080" w:hanging="360"/>
      </w:pPr>
      <w:rPr>
        <w:rFonts w:hint="default"/>
      </w:rPr>
    </w:lvl>
    <w:lvl w:ilvl="3">
      <w:start w:val="1"/>
      <w:numFmt w:val="bullet"/>
      <w:pStyle w:val="hsr4"/>
      <w:lvlText w:val=""/>
      <w:lvlJc w:val="left"/>
      <w:pPr>
        <w:ind w:left="1440" w:hanging="360"/>
      </w:pPr>
      <w:rPr>
        <w:rFonts w:ascii="Symbol" w:hAnsi="Symbol" w:hint="default"/>
      </w:rPr>
    </w:lvl>
    <w:lvl w:ilvl="4">
      <w:start w:val="1"/>
      <w:numFmt w:val="bullet"/>
      <w:pStyle w:val="hsr5"/>
      <w:lvlText w:val="○"/>
      <w:lvlJc w:val="left"/>
      <w:pPr>
        <w:ind w:left="1800" w:hanging="360"/>
      </w:pPr>
      <w:rPr>
        <w:rFonts w:ascii="Times" w:hAnsi="Times" w:hint="default"/>
      </w:rPr>
    </w:lvl>
    <w:lvl w:ilvl="5">
      <w:start w:val="1"/>
      <w:numFmt w:val="bullet"/>
      <w:pStyle w:val="hsr6"/>
      <w:lvlText w:val=""/>
      <w:lvlJc w:val="left"/>
      <w:pPr>
        <w:ind w:left="2160" w:hanging="360"/>
      </w:pPr>
      <w:rPr>
        <w:rFonts w:ascii="Wingdings" w:hAnsi="Wingding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0">
    <w:nsid w:val="214A50AD"/>
    <w:multiLevelType w:val="hybridMultilevel"/>
    <w:tmpl w:val="8A2C5DF6"/>
    <w:lvl w:ilvl="0" w:tplc="8544ED0C">
      <w:start w:val="1"/>
      <w:numFmt w:val="bullet"/>
      <w:lvlText w:val=""/>
      <w:lvlJc w:val="left"/>
      <w:pPr>
        <w:tabs>
          <w:tab w:val="num" w:pos="2160"/>
        </w:tabs>
        <w:ind w:left="2160" w:hanging="360"/>
      </w:pPr>
      <w:rPr>
        <w:rFonts w:ascii="Wingdings" w:hAnsi="Wingdings" w:hint="default"/>
        <w:b w:val="0"/>
        <w:i w:val="0"/>
        <w:sz w:val="22"/>
        <w:szCs w:val="22"/>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274072D0"/>
    <w:multiLevelType w:val="hybridMultilevel"/>
    <w:tmpl w:val="ACE4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F4E07"/>
    <w:multiLevelType w:val="hybridMultilevel"/>
    <w:tmpl w:val="5838F376"/>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CAA24B1"/>
    <w:multiLevelType w:val="hybridMultilevel"/>
    <w:tmpl w:val="BF6C1FDC"/>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58739CB"/>
    <w:multiLevelType w:val="hybridMultilevel"/>
    <w:tmpl w:val="B69875C8"/>
    <w:lvl w:ilvl="0" w:tplc="CC0A52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9A0DAE"/>
    <w:multiLevelType w:val="hybridMultilevel"/>
    <w:tmpl w:val="FAF2C102"/>
    <w:lvl w:ilvl="0" w:tplc="8544ED0C">
      <w:start w:val="1"/>
      <w:numFmt w:val="bullet"/>
      <w:lvlText w:val=""/>
      <w:lvlJc w:val="left"/>
      <w:pPr>
        <w:tabs>
          <w:tab w:val="num" w:pos="1440"/>
        </w:tabs>
        <w:ind w:left="1440" w:hanging="360"/>
      </w:pPr>
      <w:rPr>
        <w:rFonts w:ascii="Wingdings" w:hAnsi="Wingdings" w:hint="default"/>
        <w:b w:val="0"/>
        <w:i w:val="0"/>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6727CC3"/>
    <w:multiLevelType w:val="hybridMultilevel"/>
    <w:tmpl w:val="46E2CB3E"/>
    <w:lvl w:ilvl="0" w:tplc="8544ED0C">
      <w:start w:val="1"/>
      <w:numFmt w:val="bullet"/>
      <w:lvlText w:val=""/>
      <w:lvlJc w:val="left"/>
      <w:pPr>
        <w:tabs>
          <w:tab w:val="num" w:pos="1440"/>
        </w:tabs>
        <w:ind w:left="1440" w:hanging="360"/>
      </w:pPr>
      <w:rPr>
        <w:rFonts w:ascii="Wingdings" w:hAnsi="Wingdings" w:hint="default"/>
        <w:b w:val="0"/>
        <w:i w:val="0"/>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277C"/>
    <w:multiLevelType w:val="hybridMultilevel"/>
    <w:tmpl w:val="F27A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E7C57"/>
    <w:multiLevelType w:val="hybridMultilevel"/>
    <w:tmpl w:val="B77C934C"/>
    <w:lvl w:ilvl="0" w:tplc="8544ED0C">
      <w:start w:val="1"/>
      <w:numFmt w:val="bullet"/>
      <w:lvlText w:val=""/>
      <w:lvlJc w:val="left"/>
      <w:pPr>
        <w:tabs>
          <w:tab w:val="num" w:pos="1800"/>
        </w:tabs>
        <w:ind w:left="1800" w:hanging="360"/>
      </w:pPr>
      <w:rPr>
        <w:rFonts w:ascii="Wingdings" w:hAnsi="Wingdings" w:hint="default"/>
        <w:b w:val="0"/>
        <w:i w:val="0"/>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0D908D7"/>
    <w:multiLevelType w:val="hybridMultilevel"/>
    <w:tmpl w:val="7FE0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1484E"/>
    <w:multiLevelType w:val="hybridMultilevel"/>
    <w:tmpl w:val="922C3EE8"/>
    <w:lvl w:ilvl="0" w:tplc="D01081E8">
      <w:start w:val="1"/>
      <w:numFmt w:val="decimal"/>
      <w:pStyle w:val="123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2D433C"/>
    <w:multiLevelType w:val="hybridMultilevel"/>
    <w:tmpl w:val="41BA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7347B"/>
    <w:multiLevelType w:val="hybridMultilevel"/>
    <w:tmpl w:val="B7A4B680"/>
    <w:lvl w:ilvl="0" w:tplc="C18C887E">
      <w:start w:val="1"/>
      <w:numFmt w:val="decimal"/>
      <w:lvlText w:val="%1."/>
      <w:lvlJc w:val="left"/>
      <w:pPr>
        <w:tabs>
          <w:tab w:val="num" w:pos="1080"/>
        </w:tabs>
        <w:ind w:left="1080" w:hanging="360"/>
      </w:pPr>
      <w:rPr>
        <w:rFonts w:hint="default"/>
      </w:rPr>
    </w:lvl>
    <w:lvl w:ilvl="1" w:tplc="CC0A529A">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B2C146A"/>
    <w:multiLevelType w:val="hybridMultilevel"/>
    <w:tmpl w:val="992A5070"/>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9E244E"/>
    <w:multiLevelType w:val="hybridMultilevel"/>
    <w:tmpl w:val="00066682"/>
    <w:lvl w:ilvl="0" w:tplc="8544ED0C">
      <w:start w:val="1"/>
      <w:numFmt w:val="bullet"/>
      <w:lvlText w:val=""/>
      <w:lvlJc w:val="left"/>
      <w:pPr>
        <w:tabs>
          <w:tab w:val="num" w:pos="1440"/>
        </w:tabs>
        <w:ind w:left="1440" w:hanging="360"/>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nsid w:val="4E7C2EF4"/>
    <w:multiLevelType w:val="hybridMultilevel"/>
    <w:tmpl w:val="F418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215AE4"/>
    <w:multiLevelType w:val="hybridMultilevel"/>
    <w:tmpl w:val="141CDEDA"/>
    <w:lvl w:ilvl="0" w:tplc="09C6487C">
      <w:start w:val="1"/>
      <w:numFmt w:val="decimal"/>
      <w:pStyle w:val="123ListBullet"/>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nsid w:val="506443D6"/>
    <w:multiLevelType w:val="hybridMultilevel"/>
    <w:tmpl w:val="212268E6"/>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B702C8"/>
    <w:multiLevelType w:val="hybridMultilevel"/>
    <w:tmpl w:val="E6FCD94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35F3D67"/>
    <w:multiLevelType w:val="hybridMultilevel"/>
    <w:tmpl w:val="D610CF00"/>
    <w:lvl w:ilvl="0" w:tplc="8544ED0C">
      <w:start w:val="1"/>
      <w:numFmt w:val="bullet"/>
      <w:lvlText w:val=""/>
      <w:lvlJc w:val="left"/>
      <w:pPr>
        <w:tabs>
          <w:tab w:val="num" w:pos="1440"/>
        </w:tabs>
        <w:ind w:left="1440" w:hanging="360"/>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721B0E"/>
    <w:multiLevelType w:val="hybridMultilevel"/>
    <w:tmpl w:val="54B88E74"/>
    <w:lvl w:ilvl="0" w:tplc="FFFFFFFF">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5C9E6F48"/>
    <w:multiLevelType w:val="hybridMultilevel"/>
    <w:tmpl w:val="D10EA3A0"/>
    <w:lvl w:ilvl="0" w:tplc="FFFFFFFF">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68F26844"/>
    <w:multiLevelType w:val="hybridMultilevel"/>
    <w:tmpl w:val="A5F2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3C53D7"/>
    <w:multiLevelType w:val="hybridMultilevel"/>
    <w:tmpl w:val="9A46E28A"/>
    <w:lvl w:ilvl="0" w:tplc="04A0D7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9D6FDA"/>
    <w:multiLevelType w:val="hybridMultilevel"/>
    <w:tmpl w:val="7EAC300C"/>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491811"/>
    <w:multiLevelType w:val="multilevel"/>
    <w:tmpl w:val="A7167DD2"/>
    <w:lvl w:ilvl="0">
      <w:start w:val="1"/>
      <w:numFmt w:val="lowerLetter"/>
      <w:lvlText w:val="%1."/>
      <w:lvlJc w:val="left"/>
      <w:pPr>
        <w:tabs>
          <w:tab w:val="num" w:pos="3240"/>
        </w:tabs>
        <w:ind w:left="3240" w:hanging="36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710C1D64"/>
    <w:multiLevelType w:val="multilevel"/>
    <w:tmpl w:val="7EAC300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57D00D6"/>
    <w:multiLevelType w:val="hybridMultilevel"/>
    <w:tmpl w:val="A39C4700"/>
    <w:lvl w:ilvl="0" w:tplc="22FEB8CE">
      <w:start w:val="4"/>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5F75AF"/>
    <w:multiLevelType w:val="multilevel"/>
    <w:tmpl w:val="0409001D"/>
    <w:lvl w:ilvl="0">
      <w:start w:val="1"/>
      <w:numFmt w:val="decimal"/>
      <w:lvlText w:val="%1)"/>
      <w:lvlJc w:val="left"/>
      <w:pPr>
        <w:ind w:left="900" w:hanging="360"/>
      </w:p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43">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43"/>
  </w:num>
  <w:num w:numId="2">
    <w:abstractNumId w:val="28"/>
  </w:num>
  <w:num w:numId="3">
    <w:abstractNumId w:val="1"/>
  </w:num>
  <w:num w:numId="4">
    <w:abstractNumId w:val="6"/>
  </w:num>
  <w:num w:numId="5">
    <w:abstractNumId w:val="0"/>
  </w:num>
  <w:num w:numId="6">
    <w:abstractNumId w:val="13"/>
  </w:num>
  <w:num w:numId="7">
    <w:abstractNumId w:val="21"/>
  </w:num>
  <w:num w:numId="8">
    <w:abstractNumId w:val="15"/>
  </w:num>
  <w:num w:numId="9">
    <w:abstractNumId w:val="9"/>
  </w:num>
  <w:num w:numId="10">
    <w:abstractNumId w:val="23"/>
  </w:num>
  <w:num w:numId="11">
    <w:abstractNumId w:val="24"/>
  </w:num>
  <w:num w:numId="12">
    <w:abstractNumId w:val="11"/>
  </w:num>
  <w:num w:numId="13">
    <w:abstractNumId w:val="36"/>
  </w:num>
  <w:num w:numId="14">
    <w:abstractNumId w:val="41"/>
  </w:num>
  <w:num w:numId="15">
    <w:abstractNumId w:val="30"/>
  </w:num>
  <w:num w:numId="16">
    <w:abstractNumId w:val="30"/>
    <w:lvlOverride w:ilvl="0">
      <w:startOverride w:val="1"/>
    </w:lvlOverride>
  </w:num>
  <w:num w:numId="17">
    <w:abstractNumId w:val="42"/>
  </w:num>
  <w:num w:numId="18">
    <w:abstractNumId w:val="4"/>
  </w:num>
  <w:num w:numId="19">
    <w:abstractNumId w:val="37"/>
  </w:num>
  <w:num w:numId="20">
    <w:abstractNumId w:val="2"/>
  </w:num>
  <w:num w:numId="21">
    <w:abstractNumId w:val="3"/>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9"/>
  </w:num>
  <w:num w:numId="25">
    <w:abstractNumId w:val="25"/>
  </w:num>
  <w:num w:numId="26">
    <w:abstractNumId w:val="12"/>
  </w:num>
  <w:num w:numId="27">
    <w:abstractNumId w:val="34"/>
  </w:num>
  <w:num w:numId="28">
    <w:abstractNumId w:val="35"/>
  </w:num>
  <w:num w:numId="29">
    <w:abstractNumId w:val="31"/>
  </w:num>
  <w:num w:numId="30">
    <w:abstractNumId w:val="20"/>
  </w:num>
  <w:num w:numId="31">
    <w:abstractNumId w:val="17"/>
  </w:num>
  <w:num w:numId="32">
    <w:abstractNumId w:val="18"/>
  </w:num>
  <w:num w:numId="33">
    <w:abstractNumId w:val="33"/>
  </w:num>
  <w:num w:numId="34">
    <w:abstractNumId w:val="27"/>
  </w:num>
  <w:num w:numId="35">
    <w:abstractNumId w:val="5"/>
  </w:num>
  <w:num w:numId="36">
    <w:abstractNumId w:val="10"/>
  </w:num>
  <w:num w:numId="37">
    <w:abstractNumId w:val="32"/>
  </w:num>
  <w:num w:numId="38">
    <w:abstractNumId w:val="38"/>
  </w:num>
  <w:num w:numId="39">
    <w:abstractNumId w:val="14"/>
  </w:num>
  <w:num w:numId="40">
    <w:abstractNumId w:val="40"/>
  </w:num>
  <w:num w:numId="41">
    <w:abstractNumId w:val="26"/>
  </w:num>
  <w:num w:numId="42">
    <w:abstractNumId w:val="8"/>
  </w:num>
  <w:num w:numId="43">
    <w:abstractNumId w:val="7"/>
  </w:num>
  <w:num w:numId="44">
    <w:abstractNumId w:val="29"/>
  </w:num>
  <w:num w:numId="45">
    <w:abstractNumId w:val="19"/>
  </w:num>
  <w:num w:numId="46">
    <w:abstractNumId w:val="22"/>
  </w:num>
  <w:num w:numId="47">
    <w:abstractNumId w:val="9"/>
  </w:num>
  <w:num w:numId="48">
    <w:abstractNumId w:val="23"/>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D1"/>
    <w:rsid w:val="000049EA"/>
    <w:rsid w:val="00013C6D"/>
    <w:rsid w:val="00025179"/>
    <w:rsid w:val="00031E83"/>
    <w:rsid w:val="000376A7"/>
    <w:rsid w:val="00037A0F"/>
    <w:rsid w:val="0004290D"/>
    <w:rsid w:val="00050F68"/>
    <w:rsid w:val="00056DC7"/>
    <w:rsid w:val="0006270D"/>
    <w:rsid w:val="00074272"/>
    <w:rsid w:val="000762A0"/>
    <w:rsid w:val="00094469"/>
    <w:rsid w:val="000A0018"/>
    <w:rsid w:val="000A0FC2"/>
    <w:rsid w:val="000B5634"/>
    <w:rsid w:val="000C0DAB"/>
    <w:rsid w:val="000C4800"/>
    <w:rsid w:val="000C4CA5"/>
    <w:rsid w:val="000E3BD1"/>
    <w:rsid w:val="000E6DA0"/>
    <w:rsid w:val="000E7141"/>
    <w:rsid w:val="000F63D8"/>
    <w:rsid w:val="001234EF"/>
    <w:rsid w:val="001272B9"/>
    <w:rsid w:val="00127B16"/>
    <w:rsid w:val="00166174"/>
    <w:rsid w:val="00175070"/>
    <w:rsid w:val="00190707"/>
    <w:rsid w:val="00192839"/>
    <w:rsid w:val="001C235D"/>
    <w:rsid w:val="001E159A"/>
    <w:rsid w:val="001F0AE4"/>
    <w:rsid w:val="002067BB"/>
    <w:rsid w:val="002114C1"/>
    <w:rsid w:val="002217A2"/>
    <w:rsid w:val="002241D1"/>
    <w:rsid w:val="00224BC2"/>
    <w:rsid w:val="002311D2"/>
    <w:rsid w:val="00236304"/>
    <w:rsid w:val="0025245F"/>
    <w:rsid w:val="00257565"/>
    <w:rsid w:val="002744E3"/>
    <w:rsid w:val="00280F49"/>
    <w:rsid w:val="002813C3"/>
    <w:rsid w:val="002829D8"/>
    <w:rsid w:val="00290EB6"/>
    <w:rsid w:val="00293F7D"/>
    <w:rsid w:val="0029606B"/>
    <w:rsid w:val="002A0FD3"/>
    <w:rsid w:val="002A2725"/>
    <w:rsid w:val="002A6686"/>
    <w:rsid w:val="002B1CEF"/>
    <w:rsid w:val="002C121C"/>
    <w:rsid w:val="002F43FA"/>
    <w:rsid w:val="003146DE"/>
    <w:rsid w:val="003150F4"/>
    <w:rsid w:val="003303C7"/>
    <w:rsid w:val="00334578"/>
    <w:rsid w:val="0033706F"/>
    <w:rsid w:val="00372CF2"/>
    <w:rsid w:val="0039372D"/>
    <w:rsid w:val="003A3686"/>
    <w:rsid w:val="003B1574"/>
    <w:rsid w:val="003B40F9"/>
    <w:rsid w:val="003D5DFC"/>
    <w:rsid w:val="003D6058"/>
    <w:rsid w:val="003E07B7"/>
    <w:rsid w:val="003E690A"/>
    <w:rsid w:val="003F6AFE"/>
    <w:rsid w:val="004214E9"/>
    <w:rsid w:val="0043379E"/>
    <w:rsid w:val="00451DBA"/>
    <w:rsid w:val="00460D66"/>
    <w:rsid w:val="0047119B"/>
    <w:rsid w:val="0047655B"/>
    <w:rsid w:val="00477895"/>
    <w:rsid w:val="00480172"/>
    <w:rsid w:val="004831A9"/>
    <w:rsid w:val="004A0E1D"/>
    <w:rsid w:val="004C0C1F"/>
    <w:rsid w:val="004C660B"/>
    <w:rsid w:val="004E397F"/>
    <w:rsid w:val="004E4AAE"/>
    <w:rsid w:val="004F55D1"/>
    <w:rsid w:val="00511172"/>
    <w:rsid w:val="00513FCE"/>
    <w:rsid w:val="0052393B"/>
    <w:rsid w:val="00523F1C"/>
    <w:rsid w:val="00532082"/>
    <w:rsid w:val="00533447"/>
    <w:rsid w:val="00545534"/>
    <w:rsid w:val="00546BA6"/>
    <w:rsid w:val="0055021E"/>
    <w:rsid w:val="00552129"/>
    <w:rsid w:val="005650BC"/>
    <w:rsid w:val="005653AA"/>
    <w:rsid w:val="00577727"/>
    <w:rsid w:val="005A6D19"/>
    <w:rsid w:val="005F1665"/>
    <w:rsid w:val="006051BC"/>
    <w:rsid w:val="0060746D"/>
    <w:rsid w:val="00612ABB"/>
    <w:rsid w:val="00616328"/>
    <w:rsid w:val="006258E4"/>
    <w:rsid w:val="00626CA7"/>
    <w:rsid w:val="00636AC2"/>
    <w:rsid w:val="0064780F"/>
    <w:rsid w:val="006534EC"/>
    <w:rsid w:val="0068378F"/>
    <w:rsid w:val="006854C3"/>
    <w:rsid w:val="006875D2"/>
    <w:rsid w:val="00692044"/>
    <w:rsid w:val="00694A05"/>
    <w:rsid w:val="006A395C"/>
    <w:rsid w:val="006A42D1"/>
    <w:rsid w:val="006C0644"/>
    <w:rsid w:val="006D4AB4"/>
    <w:rsid w:val="006D5547"/>
    <w:rsid w:val="006D644E"/>
    <w:rsid w:val="006E03A3"/>
    <w:rsid w:val="006E2F8E"/>
    <w:rsid w:val="006F1A2D"/>
    <w:rsid w:val="00702907"/>
    <w:rsid w:val="00717674"/>
    <w:rsid w:val="00723053"/>
    <w:rsid w:val="007261A5"/>
    <w:rsid w:val="00730FE8"/>
    <w:rsid w:val="00733DE9"/>
    <w:rsid w:val="00734405"/>
    <w:rsid w:val="00745BA3"/>
    <w:rsid w:val="00760953"/>
    <w:rsid w:val="00765ADE"/>
    <w:rsid w:val="00782F87"/>
    <w:rsid w:val="007B20E2"/>
    <w:rsid w:val="007B7756"/>
    <w:rsid w:val="007C48D6"/>
    <w:rsid w:val="007D782E"/>
    <w:rsid w:val="007E1FCF"/>
    <w:rsid w:val="007E2C61"/>
    <w:rsid w:val="007E2F7E"/>
    <w:rsid w:val="007E32D2"/>
    <w:rsid w:val="007E3B05"/>
    <w:rsid w:val="00804082"/>
    <w:rsid w:val="0083679A"/>
    <w:rsid w:val="00864C4E"/>
    <w:rsid w:val="00872990"/>
    <w:rsid w:val="00885B3F"/>
    <w:rsid w:val="0089053B"/>
    <w:rsid w:val="008926E4"/>
    <w:rsid w:val="008A0163"/>
    <w:rsid w:val="008A2453"/>
    <w:rsid w:val="008C2224"/>
    <w:rsid w:val="008C2BD5"/>
    <w:rsid w:val="008C5BFB"/>
    <w:rsid w:val="0091417C"/>
    <w:rsid w:val="009273F1"/>
    <w:rsid w:val="009329A7"/>
    <w:rsid w:val="00932FAD"/>
    <w:rsid w:val="00952B66"/>
    <w:rsid w:val="009654D5"/>
    <w:rsid w:val="00967C23"/>
    <w:rsid w:val="009718BC"/>
    <w:rsid w:val="00985F22"/>
    <w:rsid w:val="0099347A"/>
    <w:rsid w:val="009969F9"/>
    <w:rsid w:val="009A2D3F"/>
    <w:rsid w:val="009A41D3"/>
    <w:rsid w:val="009B03CE"/>
    <w:rsid w:val="009C01E5"/>
    <w:rsid w:val="009C54B4"/>
    <w:rsid w:val="009E2439"/>
    <w:rsid w:val="009E4BF9"/>
    <w:rsid w:val="009E76B0"/>
    <w:rsid w:val="009F052F"/>
    <w:rsid w:val="00A14DC3"/>
    <w:rsid w:val="00A17738"/>
    <w:rsid w:val="00A344D7"/>
    <w:rsid w:val="00A43036"/>
    <w:rsid w:val="00AA5822"/>
    <w:rsid w:val="00AA5F58"/>
    <w:rsid w:val="00AA720C"/>
    <w:rsid w:val="00AB2419"/>
    <w:rsid w:val="00AC310E"/>
    <w:rsid w:val="00AC5CAA"/>
    <w:rsid w:val="00AC7344"/>
    <w:rsid w:val="00AD3509"/>
    <w:rsid w:val="00AD7E8B"/>
    <w:rsid w:val="00AF107B"/>
    <w:rsid w:val="00AF29E0"/>
    <w:rsid w:val="00AF2B27"/>
    <w:rsid w:val="00B0141A"/>
    <w:rsid w:val="00B067C5"/>
    <w:rsid w:val="00B07C66"/>
    <w:rsid w:val="00B12A9D"/>
    <w:rsid w:val="00B21B95"/>
    <w:rsid w:val="00B60DFF"/>
    <w:rsid w:val="00B81C20"/>
    <w:rsid w:val="00B876F5"/>
    <w:rsid w:val="00B87EB7"/>
    <w:rsid w:val="00BA6F11"/>
    <w:rsid w:val="00BD76AC"/>
    <w:rsid w:val="00BE6B95"/>
    <w:rsid w:val="00BE7131"/>
    <w:rsid w:val="00BF669F"/>
    <w:rsid w:val="00C003B5"/>
    <w:rsid w:val="00C06781"/>
    <w:rsid w:val="00C20162"/>
    <w:rsid w:val="00C23C7C"/>
    <w:rsid w:val="00C27E9F"/>
    <w:rsid w:val="00C35BBE"/>
    <w:rsid w:val="00C44AC9"/>
    <w:rsid w:val="00C44E71"/>
    <w:rsid w:val="00C950C9"/>
    <w:rsid w:val="00C96522"/>
    <w:rsid w:val="00CA7146"/>
    <w:rsid w:val="00CC3040"/>
    <w:rsid w:val="00CC79AA"/>
    <w:rsid w:val="00CD78C0"/>
    <w:rsid w:val="00CE658E"/>
    <w:rsid w:val="00CF6965"/>
    <w:rsid w:val="00D0675C"/>
    <w:rsid w:val="00D16E9E"/>
    <w:rsid w:val="00D25D35"/>
    <w:rsid w:val="00D40D96"/>
    <w:rsid w:val="00D523EF"/>
    <w:rsid w:val="00D557DC"/>
    <w:rsid w:val="00D61853"/>
    <w:rsid w:val="00D71FBC"/>
    <w:rsid w:val="00D72400"/>
    <w:rsid w:val="00D83911"/>
    <w:rsid w:val="00D90E52"/>
    <w:rsid w:val="00DA0731"/>
    <w:rsid w:val="00DA16FE"/>
    <w:rsid w:val="00DA1F10"/>
    <w:rsid w:val="00DC1EF6"/>
    <w:rsid w:val="00DD0B83"/>
    <w:rsid w:val="00DD0CFC"/>
    <w:rsid w:val="00DD31C5"/>
    <w:rsid w:val="00DD6D2E"/>
    <w:rsid w:val="00DE1F69"/>
    <w:rsid w:val="00DE7AC4"/>
    <w:rsid w:val="00E208BB"/>
    <w:rsid w:val="00E2677E"/>
    <w:rsid w:val="00E328F3"/>
    <w:rsid w:val="00E46048"/>
    <w:rsid w:val="00E52DB5"/>
    <w:rsid w:val="00E53748"/>
    <w:rsid w:val="00E544D2"/>
    <w:rsid w:val="00E57435"/>
    <w:rsid w:val="00E63C2E"/>
    <w:rsid w:val="00E65257"/>
    <w:rsid w:val="00E730D5"/>
    <w:rsid w:val="00E74A80"/>
    <w:rsid w:val="00E86587"/>
    <w:rsid w:val="00EB274B"/>
    <w:rsid w:val="00EC4B77"/>
    <w:rsid w:val="00ED33E8"/>
    <w:rsid w:val="00EE0E48"/>
    <w:rsid w:val="00F10637"/>
    <w:rsid w:val="00F11099"/>
    <w:rsid w:val="00F4492C"/>
    <w:rsid w:val="00F57599"/>
    <w:rsid w:val="00F65380"/>
    <w:rsid w:val="00F67C67"/>
    <w:rsid w:val="00F743E6"/>
    <w:rsid w:val="00F75A79"/>
    <w:rsid w:val="00FA6687"/>
    <w:rsid w:val="00FB70C4"/>
    <w:rsid w:val="00FD4E17"/>
    <w:rsid w:val="00FE499B"/>
    <w:rsid w:val="00FF1439"/>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FB9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6A395C"/>
    <w:pPr>
      <w:numPr>
        <w:ilvl w:val="2"/>
      </w:numPr>
      <w:ind w:right="432"/>
    </w:pPr>
  </w:style>
  <w:style w:type="character" w:customStyle="1" w:styleId="hsr3Char">
    <w:name w:val="hsr 3 Char"/>
    <w:basedOn w:val="ListParagraphChar"/>
    <w:link w:val="hsr3"/>
    <w:rsid w:val="006A395C"/>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DA0731"/>
    <w:pPr>
      <w:numPr>
        <w:numId w:val="10"/>
      </w:numPr>
      <w:tabs>
        <w:tab w:val="left" w:pos="547"/>
      </w:tabs>
      <w:ind w:right="360"/>
    </w:pPr>
  </w:style>
  <w:style w:type="character" w:customStyle="1" w:styleId="123ListChar">
    <w:name w:val="123 List Char"/>
    <w:basedOn w:val="ListParagraphChar"/>
    <w:link w:val="123List"/>
    <w:rsid w:val="00DA0731"/>
  </w:style>
  <w:style w:type="character" w:styleId="CommentReference">
    <w:name w:val="annotation reference"/>
    <w:basedOn w:val="DefaultParagraphFont"/>
    <w:semiHidden/>
    <w:unhideWhenUsed/>
    <w:rsid w:val="00DA0731"/>
    <w:rPr>
      <w:sz w:val="16"/>
      <w:szCs w:val="16"/>
    </w:rPr>
  </w:style>
  <w:style w:type="paragraph" w:styleId="CommentText">
    <w:name w:val="annotation text"/>
    <w:basedOn w:val="Normal"/>
    <w:link w:val="CommentTextChar"/>
    <w:semiHidden/>
    <w:unhideWhenUsed/>
    <w:rsid w:val="00DA0731"/>
    <w:rPr>
      <w:sz w:val="20"/>
      <w:szCs w:val="20"/>
    </w:rPr>
  </w:style>
  <w:style w:type="character" w:customStyle="1" w:styleId="CommentTextChar">
    <w:name w:val="Comment Text Char"/>
    <w:basedOn w:val="DefaultParagraphFont"/>
    <w:link w:val="CommentText"/>
    <w:uiPriority w:val="99"/>
    <w:semiHidden/>
    <w:rsid w:val="00DA0731"/>
    <w:rPr>
      <w:sz w:val="20"/>
      <w:szCs w:val="20"/>
    </w:rPr>
  </w:style>
  <w:style w:type="character" w:styleId="FollowedHyperlink">
    <w:name w:val="FollowedHyperlink"/>
    <w:basedOn w:val="DefaultParagraphFont"/>
    <w:unhideWhenUsed/>
    <w:rsid w:val="00ED33E8"/>
    <w:rPr>
      <w:color w:val="800080" w:themeColor="followedHyperlink"/>
      <w:u w:val="single"/>
    </w:rPr>
  </w:style>
  <w:style w:type="character" w:customStyle="1" w:styleId="apple-converted-space">
    <w:name w:val="apple-converted-space"/>
    <w:basedOn w:val="DefaultParagraphFont"/>
    <w:rsid w:val="00293F7D"/>
  </w:style>
  <w:style w:type="paragraph" w:customStyle="1" w:styleId="statutory-body">
    <w:name w:val="statutory-body"/>
    <w:basedOn w:val="Normal"/>
    <w:rsid w:val="00293F7D"/>
    <w:pPr>
      <w:spacing w:before="100" w:beforeAutospacing="1" w:after="100" w:afterAutospacing="1"/>
    </w:pPr>
    <w:rPr>
      <w:rFonts w:ascii="Times New Roman" w:eastAsia="Times New Roman" w:hAnsi="Times New Roman" w:cs="Times New Roman"/>
      <w:sz w:val="24"/>
      <w:szCs w:val="24"/>
    </w:rPr>
  </w:style>
  <w:style w:type="paragraph" w:customStyle="1" w:styleId="statutory-body-1em">
    <w:name w:val="statutory-body-1em"/>
    <w:basedOn w:val="Normal"/>
    <w:rsid w:val="00293F7D"/>
    <w:pPr>
      <w:spacing w:before="100" w:beforeAutospacing="1" w:after="100" w:afterAutospacing="1"/>
    </w:pPr>
    <w:rPr>
      <w:rFonts w:ascii="Times New Roman" w:eastAsia="Times New Roman" w:hAnsi="Times New Roman" w:cs="Times New Roman"/>
      <w:sz w:val="24"/>
      <w:szCs w:val="24"/>
    </w:rPr>
  </w:style>
  <w:style w:type="paragraph" w:customStyle="1" w:styleId="source-credit">
    <w:name w:val="source-credit"/>
    <w:basedOn w:val="Normal"/>
    <w:rsid w:val="00293F7D"/>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A720C"/>
    <w:rPr>
      <w:sz w:val="20"/>
      <w:szCs w:val="20"/>
    </w:rPr>
  </w:style>
  <w:style w:type="character" w:customStyle="1" w:styleId="FootnoteTextChar">
    <w:name w:val="Footnote Text Char"/>
    <w:basedOn w:val="DefaultParagraphFont"/>
    <w:link w:val="FootnoteText"/>
    <w:uiPriority w:val="99"/>
    <w:rsid w:val="00AA720C"/>
    <w:rPr>
      <w:sz w:val="20"/>
      <w:szCs w:val="20"/>
    </w:rPr>
  </w:style>
  <w:style w:type="character" w:styleId="FootnoteReference">
    <w:name w:val="footnote reference"/>
    <w:basedOn w:val="DefaultParagraphFont"/>
    <w:uiPriority w:val="99"/>
    <w:semiHidden/>
    <w:unhideWhenUsed/>
    <w:rsid w:val="00AA720C"/>
    <w:rPr>
      <w:vertAlign w:val="superscript"/>
    </w:rPr>
  </w:style>
  <w:style w:type="paragraph" w:customStyle="1" w:styleId="123ListBullet">
    <w:name w:val="123 List Bullet"/>
    <w:basedOn w:val="Bullet"/>
    <w:link w:val="123ListBulletChar"/>
    <w:qFormat/>
    <w:rsid w:val="00F10637"/>
    <w:pPr>
      <w:numPr>
        <w:numId w:val="15"/>
      </w:numPr>
      <w:ind w:left="1656"/>
    </w:pPr>
    <w:rPr>
      <w:rFonts w:ascii="Calibri" w:eastAsia="Calibri" w:hAnsi="Calibri" w:cs="Times New Roman"/>
    </w:rPr>
  </w:style>
  <w:style w:type="paragraph" w:customStyle="1" w:styleId="123ListBulletSub">
    <w:name w:val="123 List Bullet Sub"/>
    <w:basedOn w:val="BulletSub"/>
    <w:link w:val="123ListBulletSubChar"/>
    <w:qFormat/>
    <w:rsid w:val="00F10637"/>
    <w:pPr>
      <w:numPr>
        <w:numId w:val="0"/>
      </w:numPr>
      <w:ind w:left="2016" w:hanging="360"/>
    </w:pPr>
    <w:rPr>
      <w:rFonts w:ascii="Calibri" w:eastAsia="Calibri" w:hAnsi="Calibri" w:cs="Times New Roman"/>
    </w:rPr>
  </w:style>
  <w:style w:type="character" w:customStyle="1" w:styleId="123ListBulletChar">
    <w:name w:val="123 List Bullet Char"/>
    <w:link w:val="123ListBullet"/>
    <w:rsid w:val="00F10637"/>
    <w:rPr>
      <w:rFonts w:ascii="Calibri" w:eastAsia="Calibri" w:hAnsi="Calibri" w:cs="Times New Roman"/>
    </w:rPr>
  </w:style>
  <w:style w:type="character" w:customStyle="1" w:styleId="123ListBulletSubChar">
    <w:name w:val="123 List Bullet Sub Char"/>
    <w:link w:val="123ListBulletSub"/>
    <w:rsid w:val="00F10637"/>
    <w:rPr>
      <w:rFonts w:ascii="Calibri" w:eastAsia="Calibri" w:hAnsi="Calibri" w:cs="Times New Roman"/>
      <w:bCs/>
    </w:rPr>
  </w:style>
  <w:style w:type="character" w:styleId="PageNumber">
    <w:name w:val="page number"/>
    <w:basedOn w:val="DefaultParagraphFont"/>
    <w:rsid w:val="00A43036"/>
  </w:style>
  <w:style w:type="paragraph" w:styleId="TOC1">
    <w:name w:val="toc 1"/>
    <w:basedOn w:val="Normal"/>
    <w:next w:val="Normal"/>
    <w:autoRedefine/>
    <w:semiHidden/>
    <w:rsid w:val="00A43036"/>
    <w:pPr>
      <w:tabs>
        <w:tab w:val="left" w:pos="720"/>
        <w:tab w:val="right" w:leader="dot" w:pos="9350"/>
      </w:tabs>
      <w:spacing w:before="100" w:beforeAutospacing="1" w:after="100" w:afterAutospacing="1"/>
    </w:pPr>
    <w:rPr>
      <w:rFonts w:ascii="Times New Roman" w:eastAsia="Times New Roman" w:hAnsi="Times New Roman" w:cs="Times New Roman"/>
      <w:b/>
      <w:noProof/>
      <w:sz w:val="24"/>
    </w:rPr>
  </w:style>
  <w:style w:type="paragraph" w:styleId="TOC2">
    <w:name w:val="toc 2"/>
    <w:basedOn w:val="Normal"/>
    <w:next w:val="Normal"/>
    <w:autoRedefine/>
    <w:semiHidden/>
    <w:rsid w:val="00A43036"/>
    <w:pPr>
      <w:keepNext/>
      <w:tabs>
        <w:tab w:val="left" w:pos="720"/>
        <w:tab w:val="right" w:leader="dot" w:pos="9350"/>
      </w:tabs>
      <w:spacing w:before="100" w:beforeAutospacing="1"/>
      <w:jc w:val="center"/>
    </w:pPr>
    <w:rPr>
      <w:rFonts w:ascii="Times New Roman" w:eastAsia="Times New Roman" w:hAnsi="Times New Roman" w:cs="Times New Roman"/>
      <w:b/>
      <w:bCs/>
      <w:sz w:val="24"/>
      <w:szCs w:val="24"/>
    </w:rPr>
  </w:style>
  <w:style w:type="paragraph" w:styleId="TOC3">
    <w:name w:val="toc 3"/>
    <w:basedOn w:val="Normal"/>
    <w:next w:val="Normal"/>
    <w:autoRedefine/>
    <w:semiHidden/>
    <w:rsid w:val="00A43036"/>
    <w:pPr>
      <w:tabs>
        <w:tab w:val="left" w:pos="720"/>
        <w:tab w:val="right" w:leader="dot" w:pos="9346"/>
      </w:tabs>
      <w:ind w:left="720"/>
    </w:pPr>
    <w:rPr>
      <w:rFonts w:ascii="Times New Roman" w:eastAsia="Times New Roman" w:hAnsi="Times New Roman" w:cs="Times New Roman"/>
      <w:noProof/>
      <w:sz w:val="24"/>
      <w:szCs w:val="24"/>
    </w:rPr>
  </w:style>
  <w:style w:type="paragraph" w:styleId="TOC4">
    <w:name w:val="toc 4"/>
    <w:basedOn w:val="Normal"/>
    <w:next w:val="Normal"/>
    <w:autoRedefine/>
    <w:semiHidden/>
    <w:rsid w:val="00A43036"/>
    <w:pPr>
      <w:tabs>
        <w:tab w:val="left" w:pos="1847"/>
        <w:tab w:val="left" w:pos="2160"/>
        <w:tab w:val="right" w:leader="dot" w:pos="9346"/>
      </w:tabs>
      <w:ind w:left="1440"/>
    </w:pPr>
    <w:rPr>
      <w:rFonts w:ascii="Times New Roman" w:eastAsia="Times New Roman" w:hAnsi="Times New Roman" w:cs="Times New Roman"/>
      <w:noProof/>
      <w:sz w:val="24"/>
      <w:szCs w:val="24"/>
    </w:rPr>
  </w:style>
  <w:style w:type="paragraph" w:styleId="TOC5">
    <w:name w:val="toc 5"/>
    <w:basedOn w:val="Normal"/>
    <w:next w:val="Normal"/>
    <w:autoRedefine/>
    <w:semiHidden/>
    <w:rsid w:val="00A43036"/>
    <w:pPr>
      <w:ind w:left="880"/>
    </w:pPr>
    <w:rPr>
      <w:rFonts w:ascii="Times New Roman" w:eastAsia="Times New Roman" w:hAnsi="Times New Roman" w:cs="Times New Roman"/>
      <w:sz w:val="24"/>
      <w:szCs w:val="24"/>
    </w:rPr>
  </w:style>
  <w:style w:type="paragraph" w:styleId="TOC6">
    <w:name w:val="toc 6"/>
    <w:basedOn w:val="Normal"/>
    <w:next w:val="Normal"/>
    <w:autoRedefine/>
    <w:semiHidden/>
    <w:rsid w:val="00A43036"/>
    <w:pPr>
      <w:ind w:left="1100"/>
    </w:pPr>
    <w:rPr>
      <w:rFonts w:ascii="Times New Roman" w:eastAsia="Times New Roman" w:hAnsi="Times New Roman" w:cs="Times New Roman"/>
      <w:sz w:val="24"/>
      <w:szCs w:val="24"/>
    </w:rPr>
  </w:style>
  <w:style w:type="paragraph" w:styleId="TOC7">
    <w:name w:val="toc 7"/>
    <w:basedOn w:val="Normal"/>
    <w:next w:val="Normal"/>
    <w:autoRedefine/>
    <w:semiHidden/>
    <w:rsid w:val="00A43036"/>
    <w:pPr>
      <w:ind w:left="1320"/>
    </w:pPr>
    <w:rPr>
      <w:rFonts w:ascii="Times New Roman" w:eastAsia="Times New Roman" w:hAnsi="Times New Roman" w:cs="Times New Roman"/>
      <w:sz w:val="24"/>
      <w:szCs w:val="24"/>
    </w:rPr>
  </w:style>
  <w:style w:type="paragraph" w:styleId="TOC8">
    <w:name w:val="toc 8"/>
    <w:basedOn w:val="Normal"/>
    <w:next w:val="Normal"/>
    <w:autoRedefine/>
    <w:semiHidden/>
    <w:rsid w:val="00A43036"/>
    <w:pPr>
      <w:ind w:left="1540"/>
    </w:pPr>
    <w:rPr>
      <w:rFonts w:ascii="Times New Roman" w:eastAsia="Times New Roman" w:hAnsi="Times New Roman" w:cs="Times New Roman"/>
      <w:sz w:val="24"/>
      <w:szCs w:val="24"/>
    </w:rPr>
  </w:style>
  <w:style w:type="paragraph" w:styleId="TOC9">
    <w:name w:val="toc 9"/>
    <w:basedOn w:val="Normal"/>
    <w:next w:val="Normal"/>
    <w:autoRedefine/>
    <w:semiHidden/>
    <w:rsid w:val="00A43036"/>
    <w:pPr>
      <w:ind w:left="1760"/>
    </w:pPr>
    <w:rPr>
      <w:rFonts w:ascii="Times New Roman" w:eastAsia="Times New Roman" w:hAnsi="Times New Roman" w:cs="Times New Roman"/>
      <w:sz w:val="24"/>
      <w:szCs w:val="24"/>
    </w:rPr>
  </w:style>
  <w:style w:type="paragraph" w:styleId="Index1">
    <w:name w:val="index 1"/>
    <w:basedOn w:val="Normal"/>
    <w:next w:val="Normal"/>
    <w:autoRedefine/>
    <w:semiHidden/>
    <w:rsid w:val="00A43036"/>
    <w:pPr>
      <w:ind w:left="720"/>
    </w:pPr>
    <w:rPr>
      <w:rFonts w:ascii="Times New Roman" w:eastAsia="Times New Roman" w:hAnsi="Times New Roman" w:cs="Times New Roman"/>
      <w:sz w:val="24"/>
      <w:szCs w:val="24"/>
    </w:rPr>
  </w:style>
  <w:style w:type="paragraph" w:styleId="Index2">
    <w:name w:val="index 2"/>
    <w:basedOn w:val="Normal"/>
    <w:next w:val="Normal"/>
    <w:autoRedefine/>
    <w:semiHidden/>
    <w:rsid w:val="00A43036"/>
    <w:pPr>
      <w:ind w:left="440" w:hanging="220"/>
    </w:pPr>
    <w:rPr>
      <w:rFonts w:ascii="Times New Roman" w:eastAsia="Times New Roman" w:hAnsi="Times New Roman" w:cs="Times New Roman"/>
      <w:sz w:val="24"/>
      <w:szCs w:val="24"/>
    </w:rPr>
  </w:style>
  <w:style w:type="paragraph" w:styleId="Index3">
    <w:name w:val="index 3"/>
    <w:basedOn w:val="Normal"/>
    <w:next w:val="Normal"/>
    <w:autoRedefine/>
    <w:semiHidden/>
    <w:rsid w:val="00A43036"/>
    <w:pPr>
      <w:ind w:left="660" w:hanging="220"/>
    </w:pPr>
    <w:rPr>
      <w:rFonts w:ascii="Times New Roman" w:eastAsia="Times New Roman" w:hAnsi="Times New Roman" w:cs="Times New Roman"/>
      <w:sz w:val="24"/>
      <w:szCs w:val="24"/>
    </w:rPr>
  </w:style>
  <w:style w:type="paragraph" w:styleId="Index4">
    <w:name w:val="index 4"/>
    <w:basedOn w:val="Normal"/>
    <w:next w:val="Normal"/>
    <w:autoRedefine/>
    <w:semiHidden/>
    <w:rsid w:val="00A43036"/>
    <w:pPr>
      <w:ind w:left="880" w:hanging="220"/>
    </w:pPr>
    <w:rPr>
      <w:rFonts w:ascii="Times New Roman" w:eastAsia="Times New Roman" w:hAnsi="Times New Roman" w:cs="Times New Roman"/>
      <w:sz w:val="24"/>
      <w:szCs w:val="24"/>
    </w:rPr>
  </w:style>
  <w:style w:type="paragraph" w:styleId="Index5">
    <w:name w:val="index 5"/>
    <w:basedOn w:val="Normal"/>
    <w:next w:val="Normal"/>
    <w:autoRedefine/>
    <w:semiHidden/>
    <w:rsid w:val="00A43036"/>
    <w:pPr>
      <w:ind w:left="1100" w:hanging="220"/>
    </w:pPr>
    <w:rPr>
      <w:rFonts w:ascii="Times New Roman" w:eastAsia="Times New Roman" w:hAnsi="Times New Roman" w:cs="Times New Roman"/>
      <w:sz w:val="24"/>
      <w:szCs w:val="24"/>
    </w:rPr>
  </w:style>
  <w:style w:type="paragraph" w:styleId="Index6">
    <w:name w:val="index 6"/>
    <w:basedOn w:val="Normal"/>
    <w:next w:val="Normal"/>
    <w:autoRedefine/>
    <w:semiHidden/>
    <w:rsid w:val="00A43036"/>
    <w:pPr>
      <w:ind w:left="1320" w:hanging="220"/>
    </w:pPr>
    <w:rPr>
      <w:rFonts w:ascii="Times New Roman" w:eastAsia="Times New Roman" w:hAnsi="Times New Roman" w:cs="Times New Roman"/>
      <w:sz w:val="24"/>
      <w:szCs w:val="24"/>
    </w:rPr>
  </w:style>
  <w:style w:type="paragraph" w:styleId="Index7">
    <w:name w:val="index 7"/>
    <w:basedOn w:val="Normal"/>
    <w:next w:val="Normal"/>
    <w:autoRedefine/>
    <w:semiHidden/>
    <w:rsid w:val="00A43036"/>
    <w:pPr>
      <w:ind w:left="1540" w:hanging="220"/>
    </w:pPr>
    <w:rPr>
      <w:rFonts w:ascii="Times New Roman" w:eastAsia="Times New Roman" w:hAnsi="Times New Roman" w:cs="Times New Roman"/>
      <w:sz w:val="24"/>
      <w:szCs w:val="24"/>
    </w:rPr>
  </w:style>
  <w:style w:type="paragraph" w:styleId="Index8">
    <w:name w:val="index 8"/>
    <w:basedOn w:val="Normal"/>
    <w:next w:val="Normal"/>
    <w:autoRedefine/>
    <w:semiHidden/>
    <w:rsid w:val="00A43036"/>
    <w:pPr>
      <w:ind w:left="1760" w:hanging="220"/>
    </w:pPr>
    <w:rPr>
      <w:rFonts w:ascii="Times New Roman" w:eastAsia="Times New Roman" w:hAnsi="Times New Roman" w:cs="Times New Roman"/>
      <w:sz w:val="24"/>
      <w:szCs w:val="24"/>
    </w:rPr>
  </w:style>
  <w:style w:type="paragraph" w:styleId="Index9">
    <w:name w:val="index 9"/>
    <w:basedOn w:val="Normal"/>
    <w:next w:val="Normal"/>
    <w:autoRedefine/>
    <w:semiHidden/>
    <w:rsid w:val="00A43036"/>
    <w:pPr>
      <w:ind w:left="1980" w:hanging="220"/>
    </w:pPr>
    <w:rPr>
      <w:rFonts w:ascii="Times New Roman" w:eastAsia="Times New Roman" w:hAnsi="Times New Roman" w:cs="Times New Roman"/>
      <w:sz w:val="24"/>
      <w:szCs w:val="24"/>
    </w:rPr>
  </w:style>
  <w:style w:type="paragraph" w:styleId="IndexHeading">
    <w:name w:val="index heading"/>
    <w:basedOn w:val="Normal"/>
    <w:next w:val="Index1"/>
    <w:semiHidden/>
    <w:rsid w:val="00A43036"/>
    <w:rPr>
      <w:rFonts w:ascii="Times New Roman" w:eastAsia="Times New Roman" w:hAnsi="Times New Roman" w:cs="Times New Roman"/>
      <w:sz w:val="24"/>
      <w:szCs w:val="24"/>
    </w:rPr>
  </w:style>
  <w:style w:type="paragraph" w:styleId="BodyTextIndent">
    <w:name w:val="Body Text Indent"/>
    <w:basedOn w:val="Normal"/>
    <w:link w:val="BodyTextIndentChar"/>
    <w:rsid w:val="00A43036"/>
    <w:pPr>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43036"/>
    <w:rPr>
      <w:rFonts w:ascii="Times New Roman" w:eastAsia="Times New Roman" w:hAnsi="Times New Roman" w:cs="Times New Roman"/>
      <w:sz w:val="24"/>
      <w:szCs w:val="24"/>
    </w:rPr>
  </w:style>
  <w:style w:type="paragraph" w:styleId="BodyTextIndent2">
    <w:name w:val="Body Text Indent 2"/>
    <w:basedOn w:val="Normal"/>
    <w:link w:val="BodyTextIndent2Char"/>
    <w:rsid w:val="00A43036"/>
    <w:pPr>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3036"/>
    <w:rPr>
      <w:rFonts w:ascii="Times New Roman" w:eastAsia="Times New Roman" w:hAnsi="Times New Roman" w:cs="Times New Roman"/>
      <w:sz w:val="24"/>
      <w:szCs w:val="24"/>
    </w:rPr>
  </w:style>
  <w:style w:type="paragraph" w:styleId="BodyTextIndent3">
    <w:name w:val="Body Text Indent 3"/>
    <w:basedOn w:val="Normal"/>
    <w:link w:val="BodyTextIndent3Char"/>
    <w:rsid w:val="00A43036"/>
    <w:pPr>
      <w:ind w:left="21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A43036"/>
    <w:rPr>
      <w:rFonts w:ascii="Times New Roman" w:eastAsia="Times New Roman" w:hAnsi="Times New Roman" w:cs="Times New Roman"/>
      <w:sz w:val="24"/>
      <w:szCs w:val="24"/>
    </w:rPr>
  </w:style>
  <w:style w:type="paragraph" w:styleId="Title">
    <w:name w:val="Title"/>
    <w:basedOn w:val="Normal"/>
    <w:link w:val="TitleChar"/>
    <w:qFormat/>
    <w:rsid w:val="00A43036"/>
    <w:pPr>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A43036"/>
    <w:rPr>
      <w:rFonts w:ascii="Times New Roman" w:eastAsia="Times New Roman" w:hAnsi="Times New Roman" w:cs="Times New Roman"/>
      <w:b/>
      <w:bCs/>
      <w:sz w:val="32"/>
      <w:szCs w:val="24"/>
    </w:rPr>
  </w:style>
  <w:style w:type="paragraph" w:styleId="Subtitle">
    <w:name w:val="Subtitle"/>
    <w:basedOn w:val="Normal"/>
    <w:link w:val="SubtitleChar"/>
    <w:qFormat/>
    <w:rsid w:val="00A43036"/>
    <w:pPr>
      <w:jc w:val="center"/>
    </w:pPr>
    <w:rPr>
      <w:rFonts w:ascii="Times New Roman" w:eastAsia="Times New Roman" w:hAnsi="Times New Roman" w:cs="Times New Roman"/>
      <w:sz w:val="32"/>
      <w:szCs w:val="24"/>
    </w:rPr>
  </w:style>
  <w:style w:type="character" w:customStyle="1" w:styleId="SubtitleChar">
    <w:name w:val="Subtitle Char"/>
    <w:basedOn w:val="DefaultParagraphFont"/>
    <w:link w:val="Subtitle"/>
    <w:rsid w:val="00A43036"/>
    <w:rPr>
      <w:rFonts w:ascii="Times New Roman" w:eastAsia="Times New Roman" w:hAnsi="Times New Roman" w:cs="Times New Roman"/>
      <w:sz w:val="32"/>
      <w:szCs w:val="24"/>
    </w:rPr>
  </w:style>
  <w:style w:type="paragraph" w:styleId="BodyText">
    <w:name w:val="Body Text"/>
    <w:basedOn w:val="Normal"/>
    <w:link w:val="BodyTextChar"/>
    <w:rsid w:val="00A43036"/>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A43036"/>
    <w:rPr>
      <w:rFonts w:ascii="Times New Roman" w:eastAsia="Times New Roman" w:hAnsi="Times New Roman" w:cs="Times New Roman"/>
      <w:bCs/>
      <w:sz w:val="24"/>
      <w:szCs w:val="24"/>
    </w:rPr>
  </w:style>
  <w:style w:type="paragraph" w:styleId="BodyText2">
    <w:name w:val="Body Text 2"/>
    <w:basedOn w:val="Normal"/>
    <w:link w:val="BodyText2Char"/>
    <w:rsid w:val="00A43036"/>
    <w:rPr>
      <w:rFonts w:ascii="Times New Roman" w:eastAsia="Times New Roman" w:hAnsi="Times New Roman" w:cs="Times New Roman"/>
      <w:color w:val="FF0000"/>
      <w:sz w:val="24"/>
      <w:szCs w:val="24"/>
    </w:rPr>
  </w:style>
  <w:style w:type="character" w:customStyle="1" w:styleId="BodyText2Char">
    <w:name w:val="Body Text 2 Char"/>
    <w:basedOn w:val="DefaultParagraphFont"/>
    <w:link w:val="BodyText2"/>
    <w:rsid w:val="00A43036"/>
    <w:rPr>
      <w:rFonts w:ascii="Times New Roman" w:eastAsia="Times New Roman" w:hAnsi="Times New Roman" w:cs="Times New Roman"/>
      <w:color w:val="FF0000"/>
      <w:sz w:val="24"/>
      <w:szCs w:val="24"/>
    </w:rPr>
  </w:style>
  <w:style w:type="paragraph" w:styleId="BodyText3">
    <w:name w:val="Body Text 3"/>
    <w:basedOn w:val="Normal"/>
    <w:link w:val="BodyText3Char"/>
    <w:rsid w:val="00A43036"/>
    <w:rPr>
      <w:rFonts w:ascii="Times New Roman" w:eastAsia="Times New Roman" w:hAnsi="Times New Roman" w:cs="Times New Roman"/>
      <w:color w:val="0000FF"/>
      <w:sz w:val="24"/>
      <w:szCs w:val="24"/>
    </w:rPr>
  </w:style>
  <w:style w:type="character" w:customStyle="1" w:styleId="BodyText3Char">
    <w:name w:val="Body Text 3 Char"/>
    <w:basedOn w:val="DefaultParagraphFont"/>
    <w:link w:val="BodyText3"/>
    <w:rsid w:val="00A43036"/>
    <w:rPr>
      <w:rFonts w:ascii="Times New Roman" w:eastAsia="Times New Roman" w:hAnsi="Times New Roman" w:cs="Times New Roman"/>
      <w:color w:val="0000FF"/>
      <w:sz w:val="24"/>
      <w:szCs w:val="24"/>
    </w:rPr>
  </w:style>
  <w:style w:type="paragraph" w:customStyle="1" w:styleId="Default">
    <w:name w:val="Default"/>
    <w:rsid w:val="00A43036"/>
    <w:pPr>
      <w:widowControl w:val="0"/>
      <w:autoSpaceDE w:val="0"/>
      <w:autoSpaceDN w:val="0"/>
      <w:adjustRightInd w:val="0"/>
      <w:spacing w:after="0" w:line="240" w:lineRule="auto"/>
    </w:pPr>
    <w:rPr>
      <w:rFonts w:ascii="M Ionic" w:eastAsia="Times New Roman" w:hAnsi="M Ionic" w:cs="M Ionic"/>
      <w:color w:val="000000"/>
      <w:sz w:val="24"/>
      <w:szCs w:val="24"/>
      <w:lang w:bidi="hi-IN"/>
    </w:rPr>
  </w:style>
  <w:style w:type="paragraph" w:customStyle="1" w:styleId="BodySingle">
    <w:name w:val="Body Single"/>
    <w:rsid w:val="00A43036"/>
    <w:pPr>
      <w:spacing w:after="0" w:line="240" w:lineRule="auto"/>
    </w:pPr>
    <w:rPr>
      <w:rFonts w:ascii="TimesNewRomanPS" w:eastAsia="Times New Roman" w:hAnsi="TimesNewRomanPS" w:cs="Times New Roman"/>
      <w:snapToGrid w:val="0"/>
      <w:color w:val="000000"/>
      <w:sz w:val="24"/>
      <w:szCs w:val="20"/>
    </w:rPr>
  </w:style>
  <w:style w:type="paragraph" w:styleId="CommentSubject">
    <w:name w:val="annotation subject"/>
    <w:basedOn w:val="CommentText"/>
    <w:next w:val="CommentText"/>
    <w:link w:val="CommentSubjectChar"/>
    <w:semiHidden/>
    <w:rsid w:val="00A43036"/>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43036"/>
    <w:rPr>
      <w:rFonts w:ascii="Times New Roman" w:eastAsia="Times New Roman" w:hAnsi="Times New Roman" w:cs="Times New Roman"/>
      <w:b/>
      <w:bCs/>
      <w:sz w:val="20"/>
      <w:szCs w:val="20"/>
    </w:rPr>
  </w:style>
  <w:style w:type="table" w:styleId="TableGrid">
    <w:name w:val="Table Grid"/>
    <w:basedOn w:val="TableNormal"/>
    <w:rsid w:val="00A4303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43036"/>
    <w:pPr>
      <w:keepNext/>
      <w:spacing w:line="480" w:lineRule="auto"/>
      <w:jc w:val="center"/>
    </w:pPr>
    <w:rPr>
      <w:rFonts w:ascii="Times New Roman Bold" w:eastAsia="Times New Roman" w:hAnsi="Times New Roman Bold" w:cs="Times New Roman"/>
      <w:b/>
      <w:bCs/>
      <w:sz w:val="24"/>
      <w:szCs w:val="20"/>
    </w:rPr>
  </w:style>
  <w:style w:type="paragraph" w:styleId="TableofFigures">
    <w:name w:val="table of figures"/>
    <w:basedOn w:val="Normal"/>
    <w:next w:val="Normal"/>
    <w:semiHidden/>
    <w:rsid w:val="00A43036"/>
    <w:pPr>
      <w:tabs>
        <w:tab w:val="left" w:pos="1440"/>
        <w:tab w:val="right" w:leader="dot" w:pos="9346"/>
      </w:tabs>
      <w:ind w:left="480" w:hanging="4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qFormat="1"/>
    <w:lsdException w:name="footer" w:uiPriority="0" w:qFormat="1"/>
    <w:lsdException w:name="index heading" w:uiPriority="0"/>
    <w:lsdException w:name="caption" w:uiPriority="0" w:qFormat="1"/>
    <w:lsdException w:name="table of figures"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6A395C"/>
    <w:pPr>
      <w:numPr>
        <w:ilvl w:val="2"/>
      </w:numPr>
      <w:ind w:right="432"/>
    </w:pPr>
  </w:style>
  <w:style w:type="character" w:customStyle="1" w:styleId="hsr3Char">
    <w:name w:val="hsr 3 Char"/>
    <w:basedOn w:val="ListParagraphChar"/>
    <w:link w:val="hsr3"/>
    <w:rsid w:val="006A395C"/>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DA0731"/>
    <w:pPr>
      <w:numPr>
        <w:numId w:val="10"/>
      </w:numPr>
      <w:tabs>
        <w:tab w:val="left" w:pos="547"/>
      </w:tabs>
      <w:ind w:right="360"/>
    </w:pPr>
  </w:style>
  <w:style w:type="character" w:customStyle="1" w:styleId="123ListChar">
    <w:name w:val="123 List Char"/>
    <w:basedOn w:val="ListParagraphChar"/>
    <w:link w:val="123List"/>
    <w:rsid w:val="00DA0731"/>
  </w:style>
  <w:style w:type="character" w:styleId="CommentReference">
    <w:name w:val="annotation reference"/>
    <w:basedOn w:val="DefaultParagraphFont"/>
    <w:semiHidden/>
    <w:unhideWhenUsed/>
    <w:rsid w:val="00DA0731"/>
    <w:rPr>
      <w:sz w:val="16"/>
      <w:szCs w:val="16"/>
    </w:rPr>
  </w:style>
  <w:style w:type="paragraph" w:styleId="CommentText">
    <w:name w:val="annotation text"/>
    <w:basedOn w:val="Normal"/>
    <w:link w:val="CommentTextChar"/>
    <w:semiHidden/>
    <w:unhideWhenUsed/>
    <w:rsid w:val="00DA0731"/>
    <w:rPr>
      <w:sz w:val="20"/>
      <w:szCs w:val="20"/>
    </w:rPr>
  </w:style>
  <w:style w:type="character" w:customStyle="1" w:styleId="CommentTextChar">
    <w:name w:val="Comment Text Char"/>
    <w:basedOn w:val="DefaultParagraphFont"/>
    <w:link w:val="CommentText"/>
    <w:uiPriority w:val="99"/>
    <w:semiHidden/>
    <w:rsid w:val="00DA0731"/>
    <w:rPr>
      <w:sz w:val="20"/>
      <w:szCs w:val="20"/>
    </w:rPr>
  </w:style>
  <w:style w:type="character" w:styleId="FollowedHyperlink">
    <w:name w:val="FollowedHyperlink"/>
    <w:basedOn w:val="DefaultParagraphFont"/>
    <w:unhideWhenUsed/>
    <w:rsid w:val="00ED33E8"/>
    <w:rPr>
      <w:color w:val="800080" w:themeColor="followedHyperlink"/>
      <w:u w:val="single"/>
    </w:rPr>
  </w:style>
  <w:style w:type="character" w:customStyle="1" w:styleId="apple-converted-space">
    <w:name w:val="apple-converted-space"/>
    <w:basedOn w:val="DefaultParagraphFont"/>
    <w:rsid w:val="00293F7D"/>
  </w:style>
  <w:style w:type="paragraph" w:customStyle="1" w:styleId="statutory-body">
    <w:name w:val="statutory-body"/>
    <w:basedOn w:val="Normal"/>
    <w:rsid w:val="00293F7D"/>
    <w:pPr>
      <w:spacing w:before="100" w:beforeAutospacing="1" w:after="100" w:afterAutospacing="1"/>
    </w:pPr>
    <w:rPr>
      <w:rFonts w:ascii="Times New Roman" w:eastAsia="Times New Roman" w:hAnsi="Times New Roman" w:cs="Times New Roman"/>
      <w:sz w:val="24"/>
      <w:szCs w:val="24"/>
    </w:rPr>
  </w:style>
  <w:style w:type="paragraph" w:customStyle="1" w:styleId="statutory-body-1em">
    <w:name w:val="statutory-body-1em"/>
    <w:basedOn w:val="Normal"/>
    <w:rsid w:val="00293F7D"/>
    <w:pPr>
      <w:spacing w:before="100" w:beforeAutospacing="1" w:after="100" w:afterAutospacing="1"/>
    </w:pPr>
    <w:rPr>
      <w:rFonts w:ascii="Times New Roman" w:eastAsia="Times New Roman" w:hAnsi="Times New Roman" w:cs="Times New Roman"/>
      <w:sz w:val="24"/>
      <w:szCs w:val="24"/>
    </w:rPr>
  </w:style>
  <w:style w:type="paragraph" w:customStyle="1" w:styleId="source-credit">
    <w:name w:val="source-credit"/>
    <w:basedOn w:val="Normal"/>
    <w:rsid w:val="00293F7D"/>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A720C"/>
    <w:rPr>
      <w:sz w:val="20"/>
      <w:szCs w:val="20"/>
    </w:rPr>
  </w:style>
  <w:style w:type="character" w:customStyle="1" w:styleId="FootnoteTextChar">
    <w:name w:val="Footnote Text Char"/>
    <w:basedOn w:val="DefaultParagraphFont"/>
    <w:link w:val="FootnoteText"/>
    <w:uiPriority w:val="99"/>
    <w:rsid w:val="00AA720C"/>
    <w:rPr>
      <w:sz w:val="20"/>
      <w:szCs w:val="20"/>
    </w:rPr>
  </w:style>
  <w:style w:type="character" w:styleId="FootnoteReference">
    <w:name w:val="footnote reference"/>
    <w:basedOn w:val="DefaultParagraphFont"/>
    <w:uiPriority w:val="99"/>
    <w:semiHidden/>
    <w:unhideWhenUsed/>
    <w:rsid w:val="00AA720C"/>
    <w:rPr>
      <w:vertAlign w:val="superscript"/>
    </w:rPr>
  </w:style>
  <w:style w:type="paragraph" w:customStyle="1" w:styleId="123ListBullet">
    <w:name w:val="123 List Bullet"/>
    <w:basedOn w:val="Bullet"/>
    <w:link w:val="123ListBulletChar"/>
    <w:qFormat/>
    <w:rsid w:val="00F10637"/>
    <w:pPr>
      <w:numPr>
        <w:numId w:val="15"/>
      </w:numPr>
      <w:ind w:left="1656"/>
    </w:pPr>
    <w:rPr>
      <w:rFonts w:ascii="Calibri" w:eastAsia="Calibri" w:hAnsi="Calibri" w:cs="Times New Roman"/>
    </w:rPr>
  </w:style>
  <w:style w:type="paragraph" w:customStyle="1" w:styleId="123ListBulletSub">
    <w:name w:val="123 List Bullet Sub"/>
    <w:basedOn w:val="BulletSub"/>
    <w:link w:val="123ListBulletSubChar"/>
    <w:qFormat/>
    <w:rsid w:val="00F10637"/>
    <w:pPr>
      <w:numPr>
        <w:numId w:val="0"/>
      </w:numPr>
      <w:ind w:left="2016" w:hanging="360"/>
    </w:pPr>
    <w:rPr>
      <w:rFonts w:ascii="Calibri" w:eastAsia="Calibri" w:hAnsi="Calibri" w:cs="Times New Roman"/>
    </w:rPr>
  </w:style>
  <w:style w:type="character" w:customStyle="1" w:styleId="123ListBulletChar">
    <w:name w:val="123 List Bullet Char"/>
    <w:link w:val="123ListBullet"/>
    <w:rsid w:val="00F10637"/>
    <w:rPr>
      <w:rFonts w:ascii="Calibri" w:eastAsia="Calibri" w:hAnsi="Calibri" w:cs="Times New Roman"/>
    </w:rPr>
  </w:style>
  <w:style w:type="character" w:customStyle="1" w:styleId="123ListBulletSubChar">
    <w:name w:val="123 List Bullet Sub Char"/>
    <w:link w:val="123ListBulletSub"/>
    <w:rsid w:val="00F10637"/>
    <w:rPr>
      <w:rFonts w:ascii="Calibri" w:eastAsia="Calibri" w:hAnsi="Calibri" w:cs="Times New Roman"/>
      <w:bCs/>
    </w:rPr>
  </w:style>
  <w:style w:type="character" w:styleId="PageNumber">
    <w:name w:val="page number"/>
    <w:basedOn w:val="DefaultParagraphFont"/>
    <w:rsid w:val="00A43036"/>
  </w:style>
  <w:style w:type="paragraph" w:styleId="TOC1">
    <w:name w:val="toc 1"/>
    <w:basedOn w:val="Normal"/>
    <w:next w:val="Normal"/>
    <w:autoRedefine/>
    <w:semiHidden/>
    <w:rsid w:val="00A43036"/>
    <w:pPr>
      <w:tabs>
        <w:tab w:val="left" w:pos="720"/>
        <w:tab w:val="right" w:leader="dot" w:pos="9350"/>
      </w:tabs>
      <w:spacing w:before="100" w:beforeAutospacing="1" w:after="100" w:afterAutospacing="1"/>
    </w:pPr>
    <w:rPr>
      <w:rFonts w:ascii="Times New Roman" w:eastAsia="Times New Roman" w:hAnsi="Times New Roman" w:cs="Times New Roman"/>
      <w:b/>
      <w:noProof/>
      <w:sz w:val="24"/>
    </w:rPr>
  </w:style>
  <w:style w:type="paragraph" w:styleId="TOC2">
    <w:name w:val="toc 2"/>
    <w:basedOn w:val="Normal"/>
    <w:next w:val="Normal"/>
    <w:autoRedefine/>
    <w:semiHidden/>
    <w:rsid w:val="00A43036"/>
    <w:pPr>
      <w:keepNext/>
      <w:tabs>
        <w:tab w:val="left" w:pos="720"/>
        <w:tab w:val="right" w:leader="dot" w:pos="9350"/>
      </w:tabs>
      <w:spacing w:before="100" w:beforeAutospacing="1"/>
      <w:jc w:val="center"/>
    </w:pPr>
    <w:rPr>
      <w:rFonts w:ascii="Times New Roman" w:eastAsia="Times New Roman" w:hAnsi="Times New Roman" w:cs="Times New Roman"/>
      <w:b/>
      <w:bCs/>
      <w:sz w:val="24"/>
      <w:szCs w:val="24"/>
    </w:rPr>
  </w:style>
  <w:style w:type="paragraph" w:styleId="TOC3">
    <w:name w:val="toc 3"/>
    <w:basedOn w:val="Normal"/>
    <w:next w:val="Normal"/>
    <w:autoRedefine/>
    <w:semiHidden/>
    <w:rsid w:val="00A43036"/>
    <w:pPr>
      <w:tabs>
        <w:tab w:val="left" w:pos="720"/>
        <w:tab w:val="right" w:leader="dot" w:pos="9346"/>
      </w:tabs>
      <w:ind w:left="720"/>
    </w:pPr>
    <w:rPr>
      <w:rFonts w:ascii="Times New Roman" w:eastAsia="Times New Roman" w:hAnsi="Times New Roman" w:cs="Times New Roman"/>
      <w:noProof/>
      <w:sz w:val="24"/>
      <w:szCs w:val="24"/>
    </w:rPr>
  </w:style>
  <w:style w:type="paragraph" w:styleId="TOC4">
    <w:name w:val="toc 4"/>
    <w:basedOn w:val="Normal"/>
    <w:next w:val="Normal"/>
    <w:autoRedefine/>
    <w:semiHidden/>
    <w:rsid w:val="00A43036"/>
    <w:pPr>
      <w:tabs>
        <w:tab w:val="left" w:pos="1847"/>
        <w:tab w:val="left" w:pos="2160"/>
        <w:tab w:val="right" w:leader="dot" w:pos="9346"/>
      </w:tabs>
      <w:ind w:left="1440"/>
    </w:pPr>
    <w:rPr>
      <w:rFonts w:ascii="Times New Roman" w:eastAsia="Times New Roman" w:hAnsi="Times New Roman" w:cs="Times New Roman"/>
      <w:noProof/>
      <w:sz w:val="24"/>
      <w:szCs w:val="24"/>
    </w:rPr>
  </w:style>
  <w:style w:type="paragraph" w:styleId="TOC5">
    <w:name w:val="toc 5"/>
    <w:basedOn w:val="Normal"/>
    <w:next w:val="Normal"/>
    <w:autoRedefine/>
    <w:semiHidden/>
    <w:rsid w:val="00A43036"/>
    <w:pPr>
      <w:ind w:left="880"/>
    </w:pPr>
    <w:rPr>
      <w:rFonts w:ascii="Times New Roman" w:eastAsia="Times New Roman" w:hAnsi="Times New Roman" w:cs="Times New Roman"/>
      <w:sz w:val="24"/>
      <w:szCs w:val="24"/>
    </w:rPr>
  </w:style>
  <w:style w:type="paragraph" w:styleId="TOC6">
    <w:name w:val="toc 6"/>
    <w:basedOn w:val="Normal"/>
    <w:next w:val="Normal"/>
    <w:autoRedefine/>
    <w:semiHidden/>
    <w:rsid w:val="00A43036"/>
    <w:pPr>
      <w:ind w:left="1100"/>
    </w:pPr>
    <w:rPr>
      <w:rFonts w:ascii="Times New Roman" w:eastAsia="Times New Roman" w:hAnsi="Times New Roman" w:cs="Times New Roman"/>
      <w:sz w:val="24"/>
      <w:szCs w:val="24"/>
    </w:rPr>
  </w:style>
  <w:style w:type="paragraph" w:styleId="TOC7">
    <w:name w:val="toc 7"/>
    <w:basedOn w:val="Normal"/>
    <w:next w:val="Normal"/>
    <w:autoRedefine/>
    <w:semiHidden/>
    <w:rsid w:val="00A43036"/>
    <w:pPr>
      <w:ind w:left="1320"/>
    </w:pPr>
    <w:rPr>
      <w:rFonts w:ascii="Times New Roman" w:eastAsia="Times New Roman" w:hAnsi="Times New Roman" w:cs="Times New Roman"/>
      <w:sz w:val="24"/>
      <w:szCs w:val="24"/>
    </w:rPr>
  </w:style>
  <w:style w:type="paragraph" w:styleId="TOC8">
    <w:name w:val="toc 8"/>
    <w:basedOn w:val="Normal"/>
    <w:next w:val="Normal"/>
    <w:autoRedefine/>
    <w:semiHidden/>
    <w:rsid w:val="00A43036"/>
    <w:pPr>
      <w:ind w:left="1540"/>
    </w:pPr>
    <w:rPr>
      <w:rFonts w:ascii="Times New Roman" w:eastAsia="Times New Roman" w:hAnsi="Times New Roman" w:cs="Times New Roman"/>
      <w:sz w:val="24"/>
      <w:szCs w:val="24"/>
    </w:rPr>
  </w:style>
  <w:style w:type="paragraph" w:styleId="TOC9">
    <w:name w:val="toc 9"/>
    <w:basedOn w:val="Normal"/>
    <w:next w:val="Normal"/>
    <w:autoRedefine/>
    <w:semiHidden/>
    <w:rsid w:val="00A43036"/>
    <w:pPr>
      <w:ind w:left="1760"/>
    </w:pPr>
    <w:rPr>
      <w:rFonts w:ascii="Times New Roman" w:eastAsia="Times New Roman" w:hAnsi="Times New Roman" w:cs="Times New Roman"/>
      <w:sz w:val="24"/>
      <w:szCs w:val="24"/>
    </w:rPr>
  </w:style>
  <w:style w:type="paragraph" w:styleId="Index1">
    <w:name w:val="index 1"/>
    <w:basedOn w:val="Normal"/>
    <w:next w:val="Normal"/>
    <w:autoRedefine/>
    <w:semiHidden/>
    <w:rsid w:val="00A43036"/>
    <w:pPr>
      <w:ind w:left="720"/>
    </w:pPr>
    <w:rPr>
      <w:rFonts w:ascii="Times New Roman" w:eastAsia="Times New Roman" w:hAnsi="Times New Roman" w:cs="Times New Roman"/>
      <w:sz w:val="24"/>
      <w:szCs w:val="24"/>
    </w:rPr>
  </w:style>
  <w:style w:type="paragraph" w:styleId="Index2">
    <w:name w:val="index 2"/>
    <w:basedOn w:val="Normal"/>
    <w:next w:val="Normal"/>
    <w:autoRedefine/>
    <w:semiHidden/>
    <w:rsid w:val="00A43036"/>
    <w:pPr>
      <w:ind w:left="440" w:hanging="220"/>
    </w:pPr>
    <w:rPr>
      <w:rFonts w:ascii="Times New Roman" w:eastAsia="Times New Roman" w:hAnsi="Times New Roman" w:cs="Times New Roman"/>
      <w:sz w:val="24"/>
      <w:szCs w:val="24"/>
    </w:rPr>
  </w:style>
  <w:style w:type="paragraph" w:styleId="Index3">
    <w:name w:val="index 3"/>
    <w:basedOn w:val="Normal"/>
    <w:next w:val="Normal"/>
    <w:autoRedefine/>
    <w:semiHidden/>
    <w:rsid w:val="00A43036"/>
    <w:pPr>
      <w:ind w:left="660" w:hanging="220"/>
    </w:pPr>
    <w:rPr>
      <w:rFonts w:ascii="Times New Roman" w:eastAsia="Times New Roman" w:hAnsi="Times New Roman" w:cs="Times New Roman"/>
      <w:sz w:val="24"/>
      <w:szCs w:val="24"/>
    </w:rPr>
  </w:style>
  <w:style w:type="paragraph" w:styleId="Index4">
    <w:name w:val="index 4"/>
    <w:basedOn w:val="Normal"/>
    <w:next w:val="Normal"/>
    <w:autoRedefine/>
    <w:semiHidden/>
    <w:rsid w:val="00A43036"/>
    <w:pPr>
      <w:ind w:left="880" w:hanging="220"/>
    </w:pPr>
    <w:rPr>
      <w:rFonts w:ascii="Times New Roman" w:eastAsia="Times New Roman" w:hAnsi="Times New Roman" w:cs="Times New Roman"/>
      <w:sz w:val="24"/>
      <w:szCs w:val="24"/>
    </w:rPr>
  </w:style>
  <w:style w:type="paragraph" w:styleId="Index5">
    <w:name w:val="index 5"/>
    <w:basedOn w:val="Normal"/>
    <w:next w:val="Normal"/>
    <w:autoRedefine/>
    <w:semiHidden/>
    <w:rsid w:val="00A43036"/>
    <w:pPr>
      <w:ind w:left="1100" w:hanging="220"/>
    </w:pPr>
    <w:rPr>
      <w:rFonts w:ascii="Times New Roman" w:eastAsia="Times New Roman" w:hAnsi="Times New Roman" w:cs="Times New Roman"/>
      <w:sz w:val="24"/>
      <w:szCs w:val="24"/>
    </w:rPr>
  </w:style>
  <w:style w:type="paragraph" w:styleId="Index6">
    <w:name w:val="index 6"/>
    <w:basedOn w:val="Normal"/>
    <w:next w:val="Normal"/>
    <w:autoRedefine/>
    <w:semiHidden/>
    <w:rsid w:val="00A43036"/>
    <w:pPr>
      <w:ind w:left="1320" w:hanging="220"/>
    </w:pPr>
    <w:rPr>
      <w:rFonts w:ascii="Times New Roman" w:eastAsia="Times New Roman" w:hAnsi="Times New Roman" w:cs="Times New Roman"/>
      <w:sz w:val="24"/>
      <w:szCs w:val="24"/>
    </w:rPr>
  </w:style>
  <w:style w:type="paragraph" w:styleId="Index7">
    <w:name w:val="index 7"/>
    <w:basedOn w:val="Normal"/>
    <w:next w:val="Normal"/>
    <w:autoRedefine/>
    <w:semiHidden/>
    <w:rsid w:val="00A43036"/>
    <w:pPr>
      <w:ind w:left="1540" w:hanging="220"/>
    </w:pPr>
    <w:rPr>
      <w:rFonts w:ascii="Times New Roman" w:eastAsia="Times New Roman" w:hAnsi="Times New Roman" w:cs="Times New Roman"/>
      <w:sz w:val="24"/>
      <w:szCs w:val="24"/>
    </w:rPr>
  </w:style>
  <w:style w:type="paragraph" w:styleId="Index8">
    <w:name w:val="index 8"/>
    <w:basedOn w:val="Normal"/>
    <w:next w:val="Normal"/>
    <w:autoRedefine/>
    <w:semiHidden/>
    <w:rsid w:val="00A43036"/>
    <w:pPr>
      <w:ind w:left="1760" w:hanging="220"/>
    </w:pPr>
    <w:rPr>
      <w:rFonts w:ascii="Times New Roman" w:eastAsia="Times New Roman" w:hAnsi="Times New Roman" w:cs="Times New Roman"/>
      <w:sz w:val="24"/>
      <w:szCs w:val="24"/>
    </w:rPr>
  </w:style>
  <w:style w:type="paragraph" w:styleId="Index9">
    <w:name w:val="index 9"/>
    <w:basedOn w:val="Normal"/>
    <w:next w:val="Normal"/>
    <w:autoRedefine/>
    <w:semiHidden/>
    <w:rsid w:val="00A43036"/>
    <w:pPr>
      <w:ind w:left="1980" w:hanging="220"/>
    </w:pPr>
    <w:rPr>
      <w:rFonts w:ascii="Times New Roman" w:eastAsia="Times New Roman" w:hAnsi="Times New Roman" w:cs="Times New Roman"/>
      <w:sz w:val="24"/>
      <w:szCs w:val="24"/>
    </w:rPr>
  </w:style>
  <w:style w:type="paragraph" w:styleId="IndexHeading">
    <w:name w:val="index heading"/>
    <w:basedOn w:val="Normal"/>
    <w:next w:val="Index1"/>
    <w:semiHidden/>
    <w:rsid w:val="00A43036"/>
    <w:rPr>
      <w:rFonts w:ascii="Times New Roman" w:eastAsia="Times New Roman" w:hAnsi="Times New Roman" w:cs="Times New Roman"/>
      <w:sz w:val="24"/>
      <w:szCs w:val="24"/>
    </w:rPr>
  </w:style>
  <w:style w:type="paragraph" w:styleId="BodyTextIndent">
    <w:name w:val="Body Text Indent"/>
    <w:basedOn w:val="Normal"/>
    <w:link w:val="BodyTextIndentChar"/>
    <w:rsid w:val="00A43036"/>
    <w:pPr>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43036"/>
    <w:rPr>
      <w:rFonts w:ascii="Times New Roman" w:eastAsia="Times New Roman" w:hAnsi="Times New Roman" w:cs="Times New Roman"/>
      <w:sz w:val="24"/>
      <w:szCs w:val="24"/>
    </w:rPr>
  </w:style>
  <w:style w:type="paragraph" w:styleId="BodyTextIndent2">
    <w:name w:val="Body Text Indent 2"/>
    <w:basedOn w:val="Normal"/>
    <w:link w:val="BodyTextIndent2Char"/>
    <w:rsid w:val="00A43036"/>
    <w:pPr>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3036"/>
    <w:rPr>
      <w:rFonts w:ascii="Times New Roman" w:eastAsia="Times New Roman" w:hAnsi="Times New Roman" w:cs="Times New Roman"/>
      <w:sz w:val="24"/>
      <w:szCs w:val="24"/>
    </w:rPr>
  </w:style>
  <w:style w:type="paragraph" w:styleId="BodyTextIndent3">
    <w:name w:val="Body Text Indent 3"/>
    <w:basedOn w:val="Normal"/>
    <w:link w:val="BodyTextIndent3Char"/>
    <w:rsid w:val="00A43036"/>
    <w:pPr>
      <w:ind w:left="21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A43036"/>
    <w:rPr>
      <w:rFonts w:ascii="Times New Roman" w:eastAsia="Times New Roman" w:hAnsi="Times New Roman" w:cs="Times New Roman"/>
      <w:sz w:val="24"/>
      <w:szCs w:val="24"/>
    </w:rPr>
  </w:style>
  <w:style w:type="paragraph" w:styleId="Title">
    <w:name w:val="Title"/>
    <w:basedOn w:val="Normal"/>
    <w:link w:val="TitleChar"/>
    <w:qFormat/>
    <w:rsid w:val="00A43036"/>
    <w:pPr>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A43036"/>
    <w:rPr>
      <w:rFonts w:ascii="Times New Roman" w:eastAsia="Times New Roman" w:hAnsi="Times New Roman" w:cs="Times New Roman"/>
      <w:b/>
      <w:bCs/>
      <w:sz w:val="32"/>
      <w:szCs w:val="24"/>
    </w:rPr>
  </w:style>
  <w:style w:type="paragraph" w:styleId="Subtitle">
    <w:name w:val="Subtitle"/>
    <w:basedOn w:val="Normal"/>
    <w:link w:val="SubtitleChar"/>
    <w:qFormat/>
    <w:rsid w:val="00A43036"/>
    <w:pPr>
      <w:jc w:val="center"/>
    </w:pPr>
    <w:rPr>
      <w:rFonts w:ascii="Times New Roman" w:eastAsia="Times New Roman" w:hAnsi="Times New Roman" w:cs="Times New Roman"/>
      <w:sz w:val="32"/>
      <w:szCs w:val="24"/>
    </w:rPr>
  </w:style>
  <w:style w:type="character" w:customStyle="1" w:styleId="SubtitleChar">
    <w:name w:val="Subtitle Char"/>
    <w:basedOn w:val="DefaultParagraphFont"/>
    <w:link w:val="Subtitle"/>
    <w:rsid w:val="00A43036"/>
    <w:rPr>
      <w:rFonts w:ascii="Times New Roman" w:eastAsia="Times New Roman" w:hAnsi="Times New Roman" w:cs="Times New Roman"/>
      <w:sz w:val="32"/>
      <w:szCs w:val="24"/>
    </w:rPr>
  </w:style>
  <w:style w:type="paragraph" w:styleId="BodyText">
    <w:name w:val="Body Text"/>
    <w:basedOn w:val="Normal"/>
    <w:link w:val="BodyTextChar"/>
    <w:rsid w:val="00A43036"/>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A43036"/>
    <w:rPr>
      <w:rFonts w:ascii="Times New Roman" w:eastAsia="Times New Roman" w:hAnsi="Times New Roman" w:cs="Times New Roman"/>
      <w:bCs/>
      <w:sz w:val="24"/>
      <w:szCs w:val="24"/>
    </w:rPr>
  </w:style>
  <w:style w:type="paragraph" w:styleId="BodyText2">
    <w:name w:val="Body Text 2"/>
    <w:basedOn w:val="Normal"/>
    <w:link w:val="BodyText2Char"/>
    <w:rsid w:val="00A43036"/>
    <w:rPr>
      <w:rFonts w:ascii="Times New Roman" w:eastAsia="Times New Roman" w:hAnsi="Times New Roman" w:cs="Times New Roman"/>
      <w:color w:val="FF0000"/>
      <w:sz w:val="24"/>
      <w:szCs w:val="24"/>
    </w:rPr>
  </w:style>
  <w:style w:type="character" w:customStyle="1" w:styleId="BodyText2Char">
    <w:name w:val="Body Text 2 Char"/>
    <w:basedOn w:val="DefaultParagraphFont"/>
    <w:link w:val="BodyText2"/>
    <w:rsid w:val="00A43036"/>
    <w:rPr>
      <w:rFonts w:ascii="Times New Roman" w:eastAsia="Times New Roman" w:hAnsi="Times New Roman" w:cs="Times New Roman"/>
      <w:color w:val="FF0000"/>
      <w:sz w:val="24"/>
      <w:szCs w:val="24"/>
    </w:rPr>
  </w:style>
  <w:style w:type="paragraph" w:styleId="BodyText3">
    <w:name w:val="Body Text 3"/>
    <w:basedOn w:val="Normal"/>
    <w:link w:val="BodyText3Char"/>
    <w:rsid w:val="00A43036"/>
    <w:rPr>
      <w:rFonts w:ascii="Times New Roman" w:eastAsia="Times New Roman" w:hAnsi="Times New Roman" w:cs="Times New Roman"/>
      <w:color w:val="0000FF"/>
      <w:sz w:val="24"/>
      <w:szCs w:val="24"/>
    </w:rPr>
  </w:style>
  <w:style w:type="character" w:customStyle="1" w:styleId="BodyText3Char">
    <w:name w:val="Body Text 3 Char"/>
    <w:basedOn w:val="DefaultParagraphFont"/>
    <w:link w:val="BodyText3"/>
    <w:rsid w:val="00A43036"/>
    <w:rPr>
      <w:rFonts w:ascii="Times New Roman" w:eastAsia="Times New Roman" w:hAnsi="Times New Roman" w:cs="Times New Roman"/>
      <w:color w:val="0000FF"/>
      <w:sz w:val="24"/>
      <w:szCs w:val="24"/>
    </w:rPr>
  </w:style>
  <w:style w:type="paragraph" w:customStyle="1" w:styleId="Default">
    <w:name w:val="Default"/>
    <w:rsid w:val="00A43036"/>
    <w:pPr>
      <w:widowControl w:val="0"/>
      <w:autoSpaceDE w:val="0"/>
      <w:autoSpaceDN w:val="0"/>
      <w:adjustRightInd w:val="0"/>
      <w:spacing w:after="0" w:line="240" w:lineRule="auto"/>
    </w:pPr>
    <w:rPr>
      <w:rFonts w:ascii="M Ionic" w:eastAsia="Times New Roman" w:hAnsi="M Ionic" w:cs="M Ionic"/>
      <w:color w:val="000000"/>
      <w:sz w:val="24"/>
      <w:szCs w:val="24"/>
      <w:lang w:bidi="hi-IN"/>
    </w:rPr>
  </w:style>
  <w:style w:type="paragraph" w:customStyle="1" w:styleId="BodySingle">
    <w:name w:val="Body Single"/>
    <w:rsid w:val="00A43036"/>
    <w:pPr>
      <w:spacing w:after="0" w:line="240" w:lineRule="auto"/>
    </w:pPr>
    <w:rPr>
      <w:rFonts w:ascii="TimesNewRomanPS" w:eastAsia="Times New Roman" w:hAnsi="TimesNewRomanPS" w:cs="Times New Roman"/>
      <w:snapToGrid w:val="0"/>
      <w:color w:val="000000"/>
      <w:sz w:val="24"/>
      <w:szCs w:val="20"/>
    </w:rPr>
  </w:style>
  <w:style w:type="paragraph" w:styleId="CommentSubject">
    <w:name w:val="annotation subject"/>
    <w:basedOn w:val="CommentText"/>
    <w:next w:val="CommentText"/>
    <w:link w:val="CommentSubjectChar"/>
    <w:semiHidden/>
    <w:rsid w:val="00A43036"/>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43036"/>
    <w:rPr>
      <w:rFonts w:ascii="Times New Roman" w:eastAsia="Times New Roman" w:hAnsi="Times New Roman" w:cs="Times New Roman"/>
      <w:b/>
      <w:bCs/>
      <w:sz w:val="20"/>
      <w:szCs w:val="20"/>
    </w:rPr>
  </w:style>
  <w:style w:type="table" w:styleId="TableGrid">
    <w:name w:val="Table Grid"/>
    <w:basedOn w:val="TableNormal"/>
    <w:rsid w:val="00A4303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43036"/>
    <w:pPr>
      <w:keepNext/>
      <w:spacing w:line="480" w:lineRule="auto"/>
      <w:jc w:val="center"/>
    </w:pPr>
    <w:rPr>
      <w:rFonts w:ascii="Times New Roman Bold" w:eastAsia="Times New Roman" w:hAnsi="Times New Roman Bold" w:cs="Times New Roman"/>
      <w:b/>
      <w:bCs/>
      <w:sz w:val="24"/>
      <w:szCs w:val="20"/>
    </w:rPr>
  </w:style>
  <w:style w:type="paragraph" w:styleId="TableofFigures">
    <w:name w:val="table of figures"/>
    <w:basedOn w:val="Normal"/>
    <w:next w:val="Normal"/>
    <w:semiHidden/>
    <w:rsid w:val="00A43036"/>
    <w:pPr>
      <w:tabs>
        <w:tab w:val="left" w:pos="1440"/>
        <w:tab w:val="right" w:leader="dot" w:pos="9346"/>
      </w:tabs>
      <w:ind w:left="480" w:hanging="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657">
      <w:bodyDiv w:val="1"/>
      <w:marLeft w:val="0"/>
      <w:marRight w:val="0"/>
      <w:marTop w:val="0"/>
      <w:marBottom w:val="0"/>
      <w:divBdr>
        <w:top w:val="none" w:sz="0" w:space="0" w:color="auto"/>
        <w:left w:val="none" w:sz="0" w:space="0" w:color="auto"/>
        <w:bottom w:val="none" w:sz="0" w:space="0" w:color="auto"/>
        <w:right w:val="none" w:sz="0" w:space="0" w:color="auto"/>
      </w:divBdr>
    </w:div>
    <w:div w:id="2481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fra.dot.gov/Page/P0175" TargetMode="External"/><Relationship Id="rId26" Type="http://schemas.openxmlformats.org/officeDocument/2006/relationships/hyperlink" Target="http://uscodebeta.house.gov/view.xhtml?req=(title:%20section:8302%20edition:prelim)%20OR%20(granuleid:USC-prelim-titlesection8302)&amp;f=treesort&amp;edition=prelim&amp;num=0&amp;jumpTo=true" TargetMode="External"/><Relationship Id="rId39" Type="http://schemas.openxmlformats.org/officeDocument/2006/relationships/hyperlink" Target="http://www.fhwa.dot.gov/real_estate/practitioners/uniform_act/legs_regs/" TargetMode="External"/><Relationship Id="rId3" Type="http://schemas.openxmlformats.org/officeDocument/2006/relationships/customXml" Target="../customXml/item3.xml"/><Relationship Id="rId21" Type="http://schemas.openxmlformats.org/officeDocument/2006/relationships/hyperlink" Target="http://www.gpo.gov/fdsys/granule/CFR-2011-title36-vol3/CFR-2011-title36-vol3-part1191/content-detail.html" TargetMode="External"/><Relationship Id="rId34" Type="http://schemas.openxmlformats.org/officeDocument/2006/relationships/hyperlink" Target="http://www.fra.dot.gov/eLib/Details/L04760" TargetMode="External"/><Relationship Id="rId42" Type="http://schemas.openxmlformats.org/officeDocument/2006/relationships/hyperlink" Target="http://www.nfpa.org/codes-and-standards/document-information-pages?mode=code&amp;code=130" TargetMode="External"/><Relationship Id="rId47"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fra.dot.gov/eLib/Details/L03333" TargetMode="External"/><Relationship Id="rId25" Type="http://schemas.openxmlformats.org/officeDocument/2006/relationships/hyperlink" Target="http://www.gpo.gov/fdsys/pkg/USCODE-2011-title49/html/USCODE-2011-title49-subtitleV-partC-chap244-sec24405.htm" TargetMode="External"/><Relationship Id="rId33" Type="http://schemas.openxmlformats.org/officeDocument/2006/relationships/hyperlink" Target="http://www.whitehouse.gov/sites/default/files/omb/assets/a133/a133_revised_2007.pdf" TargetMode="External"/><Relationship Id="rId38" Type="http://schemas.openxmlformats.org/officeDocument/2006/relationships/hyperlink" Target="http://www.fhwa.dot.gov/real_estate/practitioners/uniform_act/" TargetMode="External"/><Relationship Id="rId46" Type="http://schemas.openxmlformats.org/officeDocument/2006/relationships/hyperlink" Target="http://www.highspeed-rail.org/Pages/DocsSpecs.aspx" TargetMode="External"/><Relationship Id="rId2" Type="http://schemas.openxmlformats.org/officeDocument/2006/relationships/customXml" Target="../customXml/item2.xml"/><Relationship Id="rId16" Type="http://schemas.openxmlformats.org/officeDocument/2006/relationships/hyperlink" Target="http://www.gpo.gov/fdsys/pkg/FR-2011-09-19/html/2011-23576.htm" TargetMode="External"/><Relationship Id="rId20" Type="http://schemas.openxmlformats.org/officeDocument/2006/relationships/hyperlink" Target="http://www.access-board.gov/guidelines-and-standards/transportation/facilities/ada-standards-for-transportation-facilities" TargetMode="External"/><Relationship Id="rId29" Type="http://schemas.openxmlformats.org/officeDocument/2006/relationships/hyperlink" Target="http://www.fra.dot.gov/eLib/details/L02561" TargetMode="External"/><Relationship Id="rId41" Type="http://schemas.openxmlformats.org/officeDocument/2006/relationships/hyperlink" Target="http://www.greatamericanstations.com/docs/amtrak-station-planning-and-program-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gpo.gov/fdsys/pkg/CFR-2011-title49-vol1/pdf/CFR-2011-title49-vol1-part38.pdf" TargetMode="External"/><Relationship Id="rId32" Type="http://schemas.openxmlformats.org/officeDocument/2006/relationships/hyperlink" Target="http://www.gpo.gov/fdsys/pkg/CFR-2009-title49-vol1/xml/CFR-2009-title49-vol1-part18.xml" TargetMode="External"/><Relationship Id="rId37" Type="http://schemas.openxmlformats.org/officeDocument/2006/relationships/hyperlink" Target="http://www.gpo.gov/fdsys/granule/USCODE-2011-title49/USCODE-2011-title49-subtitleV-partC-chap244-sec24403/content-detail.html" TargetMode="External"/><Relationship Id="rId40" Type="http://schemas.openxmlformats.org/officeDocument/2006/relationships/hyperlink" Target="http://www.fra.dot.gov/Page/P0010" TargetMode="External"/><Relationship Id="rId45" Type="http://schemas.openxmlformats.org/officeDocument/2006/relationships/hyperlink" Target="http://www.value-eng.org/pdf_docs/monographs/vmstd.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gpo.gov/fdsys/pkg/CFR-2011-title49-vol1/pdf/CFR-2011-title49-vol1-part27.pdf" TargetMode="External"/><Relationship Id="rId28" Type="http://schemas.openxmlformats.org/officeDocument/2006/relationships/hyperlink" Target="http://www.fra.dot.gov/eLib/details/L03701" TargetMode="External"/><Relationship Id="rId36" Type="http://schemas.openxmlformats.org/officeDocument/2006/relationships/hyperlink" Target="https://www.arema.org/publications/pgre/index.asp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ra.dot.gov/Page/P0175" TargetMode="External"/><Relationship Id="rId31" Type="http://schemas.openxmlformats.org/officeDocument/2006/relationships/hyperlink" Target="http://www.whitehouse.gov/omb/circulars_a102/" TargetMode="External"/><Relationship Id="rId44" Type="http://schemas.openxmlformats.org/officeDocument/2006/relationships/hyperlink" Target="http://www.greatamericanstations.com/planning-development/station-planning-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ccess-board.gov/guidelines-and-standards/transportation/vehicles/technical-assistance-manuals-on-adaag-for-transportation-vehicles/subpart-h-high-speed-rail-cars,-monorails-and-systems" TargetMode="External"/><Relationship Id="rId27" Type="http://schemas.openxmlformats.org/officeDocument/2006/relationships/hyperlink" Target="http://www.fra.dot.gov/Page/P0185" TargetMode="External"/><Relationship Id="rId30" Type="http://schemas.openxmlformats.org/officeDocument/2006/relationships/hyperlink" Target="http://www.epa.gov/compliance/basics/nepa.html" TargetMode="External"/><Relationship Id="rId35" Type="http://schemas.openxmlformats.org/officeDocument/2006/relationships/hyperlink" Target="http://www.fra.dot.gov/eLib/Details/L03759" TargetMode="External"/><Relationship Id="rId43" Type="http://schemas.openxmlformats.org/officeDocument/2006/relationships/hyperlink" Target="http://www.fra.dot.gov/eLib/Details/L03759"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2FE5-5F45-46FA-ACDC-B0A7C2E7723F}">
  <ds:schemaRef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46A72D-CD0C-4B55-8B18-5170F74728AC}">
  <ds:schemaRefs>
    <ds:schemaRef ds:uri="http://schemas.microsoft.com/sharepoint/v3/contenttype/forms"/>
  </ds:schemaRefs>
</ds:datastoreItem>
</file>

<file path=customXml/itemProps3.xml><?xml version="1.0" encoding="utf-8"?>
<ds:datastoreItem xmlns:ds="http://schemas.openxmlformats.org/officeDocument/2006/customXml" ds:itemID="{A3F129EE-7446-4A53-907C-ACBAC97B0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AA7B1F-A4A7-4089-B7B6-482C3DCD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3816</Words>
  <Characters>21756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2014-02-03T03:48:00Z</cp:lastPrinted>
  <dcterms:created xsi:type="dcterms:W3CDTF">2014-11-14T18:50:00Z</dcterms:created>
  <dcterms:modified xsi:type="dcterms:W3CDTF">2014-11-14T18:50:00Z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